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8CBF8" w14:textId="447081FF" w:rsidR="00900F02" w:rsidRPr="005C38FE" w:rsidRDefault="008502FB" w:rsidP="005C38FE">
      <w:pPr>
        <w:pStyle w:val="Heading1RestartNumbering"/>
        <w:jc w:val="center"/>
        <w:rPr>
          <w:rFonts w:ascii="Arial" w:hAnsi="Arial"/>
          <w:b/>
          <w:sz w:val="18"/>
          <w:u w:val="single"/>
        </w:rPr>
      </w:pPr>
      <w:r>
        <w:rPr>
          <w:rFonts w:ascii="Arial" w:hAnsi="Arial"/>
          <w:b/>
          <w:sz w:val="18"/>
          <w:u w:val="single"/>
        </w:rPr>
        <w:t xml:space="preserve">PART G30 </w:t>
      </w:r>
      <w:r w:rsidR="005C38FE" w:rsidRPr="005C38FE">
        <w:rPr>
          <w:rFonts w:ascii="Arial" w:hAnsi="Arial"/>
          <w:b/>
          <w:sz w:val="18"/>
          <w:u w:val="single"/>
        </w:rPr>
        <w:br/>
      </w:r>
      <w:r w:rsidR="005C38FE" w:rsidRPr="005C38FE">
        <w:rPr>
          <w:rFonts w:ascii="Arial" w:hAnsi="Arial"/>
          <w:b/>
          <w:sz w:val="18"/>
          <w:u w:val="single"/>
        </w:rPr>
        <w:br/>
      </w:r>
      <w:r w:rsidR="00900F02" w:rsidRPr="005C38FE">
        <w:rPr>
          <w:rFonts w:ascii="Arial" w:hAnsi="Arial"/>
          <w:b/>
          <w:sz w:val="18"/>
          <w:u w:val="single"/>
        </w:rPr>
        <w:t xml:space="preserve">WORK HEALTH AND SAFETY </w:t>
      </w:r>
    </w:p>
    <w:p w14:paraId="3C8DFD8C" w14:textId="77777777" w:rsidR="0023786C" w:rsidRDefault="0023786C" w:rsidP="00391233">
      <w:pPr>
        <w:jc w:val="left"/>
        <w:rPr>
          <w:b/>
        </w:rPr>
      </w:pPr>
    </w:p>
    <w:p w14:paraId="2E44AFD7" w14:textId="77777777" w:rsidR="0023786C" w:rsidRDefault="0023786C" w:rsidP="00391233">
      <w:pPr>
        <w:jc w:val="left"/>
        <w:rPr>
          <w:b/>
        </w:rPr>
      </w:pPr>
    </w:p>
    <w:p w14:paraId="1C1A85A1" w14:textId="77777777" w:rsidR="0023786C" w:rsidRDefault="0023786C" w:rsidP="00391233">
      <w:pPr>
        <w:jc w:val="left"/>
        <w:rPr>
          <w:b/>
        </w:rPr>
      </w:pPr>
    </w:p>
    <w:p w14:paraId="0FCDDE99" w14:textId="77777777" w:rsidR="00391233" w:rsidRPr="00391233" w:rsidRDefault="00391233" w:rsidP="00391233">
      <w:pPr>
        <w:jc w:val="left"/>
        <w:rPr>
          <w:b/>
        </w:rPr>
      </w:pPr>
      <w:r w:rsidRPr="00391233">
        <w:rPr>
          <w:b/>
        </w:rPr>
        <w:t>CONTENTS</w:t>
      </w:r>
    </w:p>
    <w:p w14:paraId="17E5CA94" w14:textId="77777777" w:rsidR="00900F02" w:rsidRPr="00391233" w:rsidRDefault="00900F02" w:rsidP="00391233">
      <w:pPr>
        <w:tabs>
          <w:tab w:val="left" w:pos="-720"/>
        </w:tabs>
        <w:suppressAutoHyphens/>
        <w:ind w:left="284"/>
        <w:jc w:val="left"/>
        <w:rPr>
          <w:spacing w:val="-2"/>
        </w:rPr>
      </w:pPr>
    </w:p>
    <w:p w14:paraId="3D95D49B" w14:textId="77777777" w:rsidR="00752386" w:rsidRDefault="00391233">
      <w:pPr>
        <w:pStyle w:val="TOC3"/>
        <w:rPr>
          <w:rFonts w:asciiTheme="minorHAnsi" w:eastAsiaTheme="minorEastAsia" w:hAnsiTheme="minorHAnsi" w:cstheme="minorBidi"/>
          <w:noProof/>
          <w:sz w:val="22"/>
          <w:szCs w:val="22"/>
        </w:rPr>
      </w:pPr>
      <w:r w:rsidRPr="00391233">
        <w:fldChar w:fldCharType="begin"/>
      </w:r>
      <w:r w:rsidRPr="00391233">
        <w:instrText xml:space="preserve"> TOC \o "3-3" \n \h \z \t "Title,1,Style Heading 2,2,Style Heading 1 Restart Numbering + Arial 9 pt Bold Underline,1" </w:instrText>
      </w:r>
      <w:r w:rsidRPr="00391233">
        <w:fldChar w:fldCharType="separate"/>
      </w:r>
      <w:hyperlink w:anchor="_Toc487547874" w:history="1">
        <w:r w:rsidR="00752386" w:rsidRPr="00AD54B1">
          <w:rPr>
            <w:rStyle w:val="Hyperlink"/>
            <w:rFonts w:ascii="Arial Bold" w:hAnsi="Arial Bold"/>
            <w:caps/>
            <w:noProof/>
          </w:rPr>
          <w:t>1.</w:t>
        </w:r>
        <w:r w:rsidR="00752386">
          <w:rPr>
            <w:rFonts w:asciiTheme="minorHAnsi" w:eastAsiaTheme="minorEastAsia" w:hAnsiTheme="minorHAnsi" w:cstheme="minorBidi"/>
            <w:noProof/>
            <w:sz w:val="22"/>
            <w:szCs w:val="22"/>
          </w:rPr>
          <w:tab/>
        </w:r>
        <w:r w:rsidR="00752386" w:rsidRPr="00AD54B1">
          <w:rPr>
            <w:rStyle w:val="Hyperlink"/>
            <w:noProof/>
          </w:rPr>
          <w:t>GENERAL</w:t>
        </w:r>
      </w:hyperlink>
    </w:p>
    <w:p w14:paraId="380A009F" w14:textId="77777777" w:rsidR="00752386" w:rsidRDefault="001B1B31">
      <w:pPr>
        <w:pStyle w:val="TOC3"/>
        <w:rPr>
          <w:rFonts w:asciiTheme="minorHAnsi" w:eastAsiaTheme="minorEastAsia" w:hAnsiTheme="minorHAnsi" w:cstheme="minorBidi"/>
          <w:noProof/>
          <w:sz w:val="22"/>
          <w:szCs w:val="22"/>
        </w:rPr>
      </w:pPr>
      <w:hyperlink w:anchor="_Toc487547875" w:history="1">
        <w:r w:rsidR="00752386" w:rsidRPr="00AD54B1">
          <w:rPr>
            <w:rStyle w:val="Hyperlink"/>
            <w:rFonts w:ascii="Arial Bold" w:hAnsi="Arial Bold"/>
            <w:caps/>
            <w:noProof/>
          </w:rPr>
          <w:t>2.</w:t>
        </w:r>
        <w:r w:rsidR="00752386">
          <w:rPr>
            <w:rFonts w:asciiTheme="minorHAnsi" w:eastAsiaTheme="minorEastAsia" w:hAnsiTheme="minorHAnsi" w:cstheme="minorBidi"/>
            <w:noProof/>
            <w:sz w:val="22"/>
            <w:szCs w:val="22"/>
          </w:rPr>
          <w:tab/>
        </w:r>
        <w:r w:rsidR="00752386" w:rsidRPr="00AD54B1">
          <w:rPr>
            <w:rStyle w:val="Hyperlink"/>
            <w:noProof/>
          </w:rPr>
          <w:t>WHS MANAGEMENT SYSTEM</w:t>
        </w:r>
      </w:hyperlink>
    </w:p>
    <w:p w14:paraId="72C6A415" w14:textId="77777777" w:rsidR="00752386" w:rsidRDefault="001B1B31">
      <w:pPr>
        <w:pStyle w:val="TOC3"/>
        <w:rPr>
          <w:rFonts w:asciiTheme="minorHAnsi" w:eastAsiaTheme="minorEastAsia" w:hAnsiTheme="minorHAnsi" w:cstheme="minorBidi"/>
          <w:noProof/>
          <w:sz w:val="22"/>
          <w:szCs w:val="22"/>
        </w:rPr>
      </w:pPr>
      <w:hyperlink w:anchor="_Toc487547876" w:history="1">
        <w:r w:rsidR="00752386" w:rsidRPr="00AD54B1">
          <w:rPr>
            <w:rStyle w:val="Hyperlink"/>
            <w:rFonts w:ascii="Arial Bold" w:hAnsi="Arial Bold"/>
            <w:caps/>
            <w:noProof/>
          </w:rPr>
          <w:t>3.</w:t>
        </w:r>
        <w:r w:rsidR="00752386">
          <w:rPr>
            <w:rFonts w:asciiTheme="minorHAnsi" w:eastAsiaTheme="minorEastAsia" w:hAnsiTheme="minorHAnsi" w:cstheme="minorBidi"/>
            <w:noProof/>
            <w:sz w:val="22"/>
            <w:szCs w:val="22"/>
          </w:rPr>
          <w:tab/>
        </w:r>
        <w:r w:rsidR="00752386" w:rsidRPr="00AD54B1">
          <w:rPr>
            <w:rStyle w:val="Hyperlink"/>
            <w:caps/>
            <w:noProof/>
          </w:rPr>
          <w:t xml:space="preserve">WHS </w:t>
        </w:r>
        <w:r w:rsidR="00752386" w:rsidRPr="00AD54B1">
          <w:rPr>
            <w:rStyle w:val="Hyperlink"/>
            <w:noProof/>
          </w:rPr>
          <w:t>MANAGEMENT</w:t>
        </w:r>
        <w:r w:rsidR="00752386" w:rsidRPr="00AD54B1">
          <w:rPr>
            <w:rStyle w:val="Hyperlink"/>
            <w:caps/>
            <w:noProof/>
          </w:rPr>
          <w:t xml:space="preserve"> Plan</w:t>
        </w:r>
      </w:hyperlink>
    </w:p>
    <w:p w14:paraId="4991AF0B" w14:textId="77777777" w:rsidR="00752386" w:rsidRDefault="001B1B31">
      <w:pPr>
        <w:pStyle w:val="TOC3"/>
        <w:rPr>
          <w:rFonts w:asciiTheme="minorHAnsi" w:eastAsiaTheme="minorEastAsia" w:hAnsiTheme="minorHAnsi" w:cstheme="minorBidi"/>
          <w:noProof/>
          <w:sz w:val="22"/>
          <w:szCs w:val="22"/>
        </w:rPr>
      </w:pPr>
      <w:hyperlink w:anchor="_Toc487547877" w:history="1">
        <w:r w:rsidR="00752386" w:rsidRPr="00AD54B1">
          <w:rPr>
            <w:rStyle w:val="Hyperlink"/>
            <w:rFonts w:ascii="Arial Bold" w:hAnsi="Arial Bold"/>
            <w:caps/>
            <w:noProof/>
          </w:rPr>
          <w:t>4.</w:t>
        </w:r>
        <w:r w:rsidR="00752386">
          <w:rPr>
            <w:rFonts w:asciiTheme="minorHAnsi" w:eastAsiaTheme="minorEastAsia" w:hAnsiTheme="minorHAnsi" w:cstheme="minorBidi"/>
            <w:noProof/>
            <w:sz w:val="22"/>
            <w:szCs w:val="22"/>
          </w:rPr>
          <w:tab/>
        </w:r>
        <w:r w:rsidR="00752386" w:rsidRPr="00AD54B1">
          <w:rPr>
            <w:rStyle w:val="Hyperlink"/>
            <w:caps/>
            <w:noProof/>
          </w:rPr>
          <w:t>safe work method statements</w:t>
        </w:r>
      </w:hyperlink>
    </w:p>
    <w:p w14:paraId="74F504BF" w14:textId="77777777" w:rsidR="00752386" w:rsidRDefault="001B1B31">
      <w:pPr>
        <w:pStyle w:val="TOC3"/>
        <w:rPr>
          <w:rFonts w:asciiTheme="minorHAnsi" w:eastAsiaTheme="minorEastAsia" w:hAnsiTheme="minorHAnsi" w:cstheme="minorBidi"/>
          <w:noProof/>
          <w:sz w:val="22"/>
          <w:szCs w:val="22"/>
        </w:rPr>
      </w:pPr>
      <w:hyperlink w:anchor="_Toc487547878" w:history="1">
        <w:r w:rsidR="00752386" w:rsidRPr="00AD54B1">
          <w:rPr>
            <w:rStyle w:val="Hyperlink"/>
            <w:rFonts w:ascii="Arial Bold" w:hAnsi="Arial Bold"/>
            <w:caps/>
            <w:noProof/>
          </w:rPr>
          <w:t>5.</w:t>
        </w:r>
        <w:r w:rsidR="00752386">
          <w:rPr>
            <w:rFonts w:asciiTheme="minorHAnsi" w:eastAsiaTheme="minorEastAsia" w:hAnsiTheme="minorHAnsi" w:cstheme="minorBidi"/>
            <w:noProof/>
            <w:sz w:val="22"/>
            <w:szCs w:val="22"/>
          </w:rPr>
          <w:tab/>
        </w:r>
        <w:r w:rsidR="00752386" w:rsidRPr="00AD54B1">
          <w:rPr>
            <w:rStyle w:val="Hyperlink"/>
            <w:caps/>
            <w:noProof/>
          </w:rPr>
          <w:t xml:space="preserve">SITE </w:t>
        </w:r>
        <w:r w:rsidR="00752386" w:rsidRPr="00AD54B1">
          <w:rPr>
            <w:rStyle w:val="Hyperlink"/>
            <w:noProof/>
          </w:rPr>
          <w:t>SAFETY</w:t>
        </w:r>
        <w:r w:rsidR="00752386" w:rsidRPr="00AD54B1">
          <w:rPr>
            <w:rStyle w:val="Hyperlink"/>
            <w:caps/>
            <w:noProof/>
          </w:rPr>
          <w:t xml:space="preserve"> REPRESENTATIVE</w:t>
        </w:r>
      </w:hyperlink>
    </w:p>
    <w:p w14:paraId="76C405B9" w14:textId="77777777" w:rsidR="00752386" w:rsidRDefault="001B1B31">
      <w:pPr>
        <w:pStyle w:val="TOC3"/>
        <w:rPr>
          <w:rFonts w:asciiTheme="minorHAnsi" w:eastAsiaTheme="minorEastAsia" w:hAnsiTheme="minorHAnsi" w:cstheme="minorBidi"/>
          <w:noProof/>
          <w:sz w:val="22"/>
          <w:szCs w:val="22"/>
        </w:rPr>
      </w:pPr>
      <w:hyperlink w:anchor="_Toc487547879" w:history="1">
        <w:r w:rsidR="00752386" w:rsidRPr="00AD54B1">
          <w:rPr>
            <w:rStyle w:val="Hyperlink"/>
            <w:rFonts w:ascii="Arial Bold" w:hAnsi="Arial Bold"/>
            <w:caps/>
            <w:noProof/>
          </w:rPr>
          <w:t>6.</w:t>
        </w:r>
        <w:r w:rsidR="00752386">
          <w:rPr>
            <w:rFonts w:asciiTheme="minorHAnsi" w:eastAsiaTheme="minorEastAsia" w:hAnsiTheme="minorHAnsi" w:cstheme="minorBidi"/>
            <w:noProof/>
            <w:sz w:val="22"/>
            <w:szCs w:val="22"/>
          </w:rPr>
          <w:tab/>
        </w:r>
        <w:r w:rsidR="00752386" w:rsidRPr="00AD54B1">
          <w:rPr>
            <w:rStyle w:val="Hyperlink"/>
            <w:noProof/>
          </w:rPr>
          <w:t>COMPLIANCE</w:t>
        </w:r>
        <w:r w:rsidR="00752386" w:rsidRPr="00AD54B1">
          <w:rPr>
            <w:rStyle w:val="Hyperlink"/>
            <w:caps/>
            <w:noProof/>
          </w:rPr>
          <w:t xml:space="preserve"> WITH PART 4 OF THE ROAD TRAFFIC ACT</w:t>
        </w:r>
      </w:hyperlink>
    </w:p>
    <w:p w14:paraId="591C919A" w14:textId="77777777" w:rsidR="00752386" w:rsidRDefault="001B1B31">
      <w:pPr>
        <w:pStyle w:val="TOC3"/>
        <w:rPr>
          <w:rFonts w:asciiTheme="minorHAnsi" w:eastAsiaTheme="minorEastAsia" w:hAnsiTheme="minorHAnsi" w:cstheme="minorBidi"/>
          <w:noProof/>
          <w:sz w:val="22"/>
          <w:szCs w:val="22"/>
        </w:rPr>
      </w:pPr>
      <w:hyperlink w:anchor="_Toc487547880" w:history="1">
        <w:r w:rsidR="00752386" w:rsidRPr="00AD54B1">
          <w:rPr>
            <w:rStyle w:val="Hyperlink"/>
            <w:rFonts w:ascii="Arial Bold" w:hAnsi="Arial Bold"/>
            <w:caps/>
            <w:noProof/>
          </w:rPr>
          <w:t>7.</w:t>
        </w:r>
        <w:r w:rsidR="00752386">
          <w:rPr>
            <w:rFonts w:asciiTheme="minorHAnsi" w:eastAsiaTheme="minorEastAsia" w:hAnsiTheme="minorHAnsi" w:cstheme="minorBidi"/>
            <w:noProof/>
            <w:sz w:val="22"/>
            <w:szCs w:val="22"/>
          </w:rPr>
          <w:tab/>
        </w:r>
        <w:r w:rsidR="00752386" w:rsidRPr="00AD54B1">
          <w:rPr>
            <w:rStyle w:val="Hyperlink"/>
            <w:noProof/>
          </w:rPr>
          <w:t>AUDITS</w:t>
        </w:r>
      </w:hyperlink>
    </w:p>
    <w:p w14:paraId="380AA37A" w14:textId="77777777" w:rsidR="00752386" w:rsidRDefault="001B1B31">
      <w:pPr>
        <w:pStyle w:val="TOC3"/>
        <w:rPr>
          <w:rFonts w:asciiTheme="minorHAnsi" w:eastAsiaTheme="minorEastAsia" w:hAnsiTheme="minorHAnsi" w:cstheme="minorBidi"/>
          <w:noProof/>
          <w:sz w:val="22"/>
          <w:szCs w:val="22"/>
        </w:rPr>
      </w:pPr>
      <w:hyperlink w:anchor="_Toc487547881" w:history="1">
        <w:r w:rsidR="00752386" w:rsidRPr="00AD54B1">
          <w:rPr>
            <w:rStyle w:val="Hyperlink"/>
            <w:rFonts w:ascii="Arial Bold" w:hAnsi="Arial Bold"/>
            <w:caps/>
            <w:noProof/>
          </w:rPr>
          <w:t>8.</w:t>
        </w:r>
        <w:r w:rsidR="00752386">
          <w:rPr>
            <w:rFonts w:asciiTheme="minorHAnsi" w:eastAsiaTheme="minorEastAsia" w:hAnsiTheme="minorHAnsi" w:cstheme="minorBidi"/>
            <w:noProof/>
            <w:sz w:val="22"/>
            <w:szCs w:val="22"/>
          </w:rPr>
          <w:tab/>
        </w:r>
        <w:r w:rsidR="00752386" w:rsidRPr="00AD54B1">
          <w:rPr>
            <w:rStyle w:val="Hyperlink"/>
            <w:noProof/>
          </w:rPr>
          <w:t>PERFORMANCE REPORTING</w:t>
        </w:r>
      </w:hyperlink>
    </w:p>
    <w:p w14:paraId="0B2E53B1" w14:textId="77777777" w:rsidR="00752386" w:rsidRDefault="001B1B31">
      <w:pPr>
        <w:pStyle w:val="TOC3"/>
        <w:rPr>
          <w:rFonts w:asciiTheme="minorHAnsi" w:eastAsiaTheme="minorEastAsia" w:hAnsiTheme="minorHAnsi" w:cstheme="minorBidi"/>
          <w:noProof/>
          <w:sz w:val="22"/>
          <w:szCs w:val="22"/>
        </w:rPr>
      </w:pPr>
      <w:hyperlink w:anchor="_Toc487547882" w:history="1">
        <w:r w:rsidR="00752386" w:rsidRPr="00AD54B1">
          <w:rPr>
            <w:rStyle w:val="Hyperlink"/>
            <w:rFonts w:ascii="Arial Bold" w:hAnsi="Arial Bold"/>
            <w:caps/>
            <w:noProof/>
          </w:rPr>
          <w:t>9.</w:t>
        </w:r>
        <w:r w:rsidR="00752386">
          <w:rPr>
            <w:rFonts w:asciiTheme="minorHAnsi" w:eastAsiaTheme="minorEastAsia" w:hAnsiTheme="minorHAnsi" w:cstheme="minorBidi"/>
            <w:noProof/>
            <w:sz w:val="22"/>
            <w:szCs w:val="22"/>
          </w:rPr>
          <w:tab/>
        </w:r>
        <w:r w:rsidR="00752386" w:rsidRPr="00AD54B1">
          <w:rPr>
            <w:rStyle w:val="Hyperlink"/>
            <w:noProof/>
          </w:rPr>
          <w:t>INCIDENT NOTIFICATION</w:t>
        </w:r>
      </w:hyperlink>
    </w:p>
    <w:p w14:paraId="0B4D7503" w14:textId="77777777" w:rsidR="00752386" w:rsidRDefault="001B1B31">
      <w:pPr>
        <w:pStyle w:val="TOC3"/>
        <w:rPr>
          <w:rFonts w:asciiTheme="minorHAnsi" w:eastAsiaTheme="minorEastAsia" w:hAnsiTheme="minorHAnsi" w:cstheme="minorBidi"/>
          <w:noProof/>
          <w:sz w:val="22"/>
          <w:szCs w:val="22"/>
        </w:rPr>
      </w:pPr>
      <w:hyperlink w:anchor="_Toc487547883" w:history="1">
        <w:r w:rsidR="00752386" w:rsidRPr="00AD54B1">
          <w:rPr>
            <w:rStyle w:val="Hyperlink"/>
            <w:rFonts w:ascii="Arial Bold" w:hAnsi="Arial Bold"/>
            <w:caps/>
            <w:noProof/>
          </w:rPr>
          <w:t>10.</w:t>
        </w:r>
        <w:r w:rsidR="00752386">
          <w:rPr>
            <w:rFonts w:asciiTheme="minorHAnsi" w:eastAsiaTheme="minorEastAsia" w:hAnsiTheme="minorHAnsi" w:cstheme="minorBidi"/>
            <w:noProof/>
            <w:sz w:val="22"/>
            <w:szCs w:val="22"/>
          </w:rPr>
          <w:tab/>
        </w:r>
        <w:r w:rsidR="00752386" w:rsidRPr="00AD54B1">
          <w:rPr>
            <w:rStyle w:val="Hyperlink"/>
            <w:noProof/>
          </w:rPr>
          <w:t>NON-COMPLIANCE</w:t>
        </w:r>
      </w:hyperlink>
    </w:p>
    <w:p w14:paraId="358EA10C" w14:textId="77777777" w:rsidR="00752386" w:rsidRDefault="001B1B31">
      <w:pPr>
        <w:pStyle w:val="TOC3"/>
        <w:rPr>
          <w:rFonts w:asciiTheme="minorHAnsi" w:eastAsiaTheme="minorEastAsia" w:hAnsiTheme="minorHAnsi" w:cstheme="minorBidi"/>
          <w:noProof/>
          <w:sz w:val="22"/>
          <w:szCs w:val="22"/>
        </w:rPr>
      </w:pPr>
      <w:hyperlink w:anchor="_Toc487547884" w:history="1">
        <w:r w:rsidR="00752386" w:rsidRPr="00AD54B1">
          <w:rPr>
            <w:rStyle w:val="Hyperlink"/>
            <w:rFonts w:ascii="Arial Bold" w:hAnsi="Arial Bold"/>
            <w:caps/>
            <w:noProof/>
          </w:rPr>
          <w:t>11.</w:t>
        </w:r>
        <w:r w:rsidR="00752386">
          <w:rPr>
            <w:rFonts w:asciiTheme="minorHAnsi" w:eastAsiaTheme="minorEastAsia" w:hAnsiTheme="minorHAnsi" w:cstheme="minorBidi"/>
            <w:noProof/>
            <w:sz w:val="22"/>
            <w:szCs w:val="22"/>
          </w:rPr>
          <w:tab/>
        </w:r>
        <w:r w:rsidR="00752386" w:rsidRPr="00AD54B1">
          <w:rPr>
            <w:rStyle w:val="Hyperlink"/>
            <w:caps/>
            <w:noProof/>
          </w:rPr>
          <w:t xml:space="preserve">HOLD </w:t>
        </w:r>
        <w:r w:rsidR="00752386" w:rsidRPr="00AD54B1">
          <w:rPr>
            <w:rStyle w:val="Hyperlink"/>
            <w:noProof/>
          </w:rPr>
          <w:t>POINTS</w:t>
        </w:r>
      </w:hyperlink>
    </w:p>
    <w:p w14:paraId="4050B043" w14:textId="6D20ED2C" w:rsidR="00900F02" w:rsidRPr="00033CEF" w:rsidRDefault="00391233" w:rsidP="00391233">
      <w:pPr>
        <w:tabs>
          <w:tab w:val="left" w:pos="-720"/>
        </w:tabs>
        <w:suppressAutoHyphens/>
        <w:ind w:left="284"/>
        <w:jc w:val="left"/>
        <w:rPr>
          <w:caps/>
        </w:rPr>
      </w:pPr>
      <w:r w:rsidRPr="00391233">
        <w:rPr>
          <w:spacing w:val="-2"/>
        </w:rPr>
        <w:fldChar w:fldCharType="end"/>
      </w:r>
    </w:p>
    <w:p w14:paraId="7286D6F3" w14:textId="3023C673" w:rsidR="00900F02" w:rsidRPr="00033CEF" w:rsidRDefault="00391233" w:rsidP="005C38FE">
      <w:pPr>
        <w:pStyle w:val="Heading3"/>
        <w:rPr>
          <w:b w:val="0"/>
          <w:caps/>
        </w:rPr>
      </w:pPr>
      <w:bookmarkStart w:id="0" w:name="_Toc487547874"/>
      <w:r w:rsidRPr="005C38FE">
        <w:t>GENERAL</w:t>
      </w:r>
      <w:bookmarkEnd w:id="0"/>
    </w:p>
    <w:p w14:paraId="70D66905" w14:textId="77777777" w:rsidR="00900F02" w:rsidRPr="00033CEF" w:rsidRDefault="00900F02" w:rsidP="005C38FE">
      <w:pPr>
        <w:pStyle w:val="Paragraph"/>
      </w:pPr>
      <w:r w:rsidRPr="00033CEF">
        <w:t>This part specifies the Contractor’s o</w:t>
      </w:r>
      <w:bookmarkStart w:id="1" w:name="_GoBack"/>
      <w:bookmarkEnd w:id="1"/>
      <w:r w:rsidRPr="00033CEF">
        <w:t>bligations in regard to Work Health and Safety (WHS).</w:t>
      </w:r>
    </w:p>
    <w:p w14:paraId="300B94F2" w14:textId="77777777" w:rsidR="00900F02" w:rsidRPr="00033CEF" w:rsidRDefault="00900F02" w:rsidP="005C38FE">
      <w:pPr>
        <w:pStyle w:val="Paragraph"/>
      </w:pPr>
      <w:r w:rsidRPr="00033CEF">
        <w:t xml:space="preserve">The Contractor must comply with the </w:t>
      </w:r>
      <w:r w:rsidRPr="00033CEF">
        <w:rPr>
          <w:i/>
          <w:iCs/>
          <w:color w:val="000000"/>
        </w:rPr>
        <w:t xml:space="preserve">Work Health and Safety Act 2012 </w:t>
      </w:r>
      <w:r w:rsidRPr="00033CEF">
        <w:t>(SA) (</w:t>
      </w:r>
      <w:r w:rsidRPr="00033CEF">
        <w:rPr>
          <w:b/>
        </w:rPr>
        <w:t>“WHS Act”</w:t>
      </w:r>
      <w:r w:rsidRPr="00033CEF">
        <w:t xml:space="preserve">) and the </w:t>
      </w:r>
      <w:r w:rsidRPr="00033CEF">
        <w:rPr>
          <w:i/>
          <w:iCs/>
          <w:color w:val="000000"/>
        </w:rPr>
        <w:t xml:space="preserve">Work Health and Safety Regulations 2012 </w:t>
      </w:r>
      <w:r w:rsidRPr="00033CEF">
        <w:rPr>
          <w:iCs/>
          <w:color w:val="000000"/>
        </w:rPr>
        <w:t>(SA)</w:t>
      </w:r>
      <w:r w:rsidRPr="00033CEF">
        <w:t xml:space="preserve"> (</w:t>
      </w:r>
      <w:r w:rsidRPr="00033CEF">
        <w:rPr>
          <w:b/>
        </w:rPr>
        <w:t>“WHS Regulations”</w:t>
      </w:r>
      <w:r w:rsidRPr="00033CEF">
        <w:t>).  The definitions in the WHS Act and WHS Regulations</w:t>
      </w:r>
      <w:r w:rsidRPr="00033CEF">
        <w:rPr>
          <w:i/>
        </w:rPr>
        <w:t xml:space="preserve"> </w:t>
      </w:r>
      <w:r w:rsidRPr="00033CEF">
        <w:t>apply to this Part.</w:t>
      </w:r>
    </w:p>
    <w:p w14:paraId="78797178" w14:textId="77777777" w:rsidR="00900F02" w:rsidRDefault="00900F02" w:rsidP="005C38FE">
      <w:pPr>
        <w:pStyle w:val="Paragraph"/>
      </w:pPr>
      <w:r w:rsidRPr="00033CEF">
        <w:t>The Contractor is the principal contractor for the work under the Contract and is authorised to have management or control of the workplace and to discharge the duties of a principal contractor under the WHS Regulations.</w:t>
      </w:r>
    </w:p>
    <w:p w14:paraId="107B2872" w14:textId="231C380C" w:rsidR="00263A3C" w:rsidRPr="00CC1DBB" w:rsidRDefault="00263A3C" w:rsidP="00263A3C">
      <w:pPr>
        <w:pStyle w:val="Heading3"/>
        <w:rPr>
          <w:caps/>
        </w:rPr>
      </w:pPr>
      <w:r w:rsidRPr="00CC1DBB">
        <w:rPr>
          <w:caps/>
        </w:rPr>
        <w:t>SAFETY CULTURE ASSESSMENT</w:t>
      </w:r>
    </w:p>
    <w:p w14:paraId="550F4431" w14:textId="77777777" w:rsidR="00263A3C" w:rsidRPr="00CC1DBB" w:rsidRDefault="00263A3C" w:rsidP="00000437">
      <w:pPr>
        <w:pStyle w:val="Paragraph"/>
        <w:rPr>
          <w:b/>
        </w:rPr>
      </w:pPr>
      <w:r w:rsidRPr="00CC1DBB">
        <w:rPr>
          <w:b/>
        </w:rPr>
        <w:t>Definitions</w:t>
      </w:r>
    </w:p>
    <w:p w14:paraId="45B7FBBE" w14:textId="5A6496B3" w:rsidR="00263A3C" w:rsidRPr="00CC1DBB" w:rsidRDefault="00263A3C" w:rsidP="00000437">
      <w:pPr>
        <w:autoSpaceDE w:val="0"/>
        <w:autoSpaceDN w:val="0"/>
        <w:adjustRightInd w:val="0"/>
        <w:spacing w:before="120"/>
        <w:ind w:left="720" w:firstLine="414"/>
      </w:pPr>
      <w:r w:rsidRPr="00CC1DBB">
        <w:t xml:space="preserve">For the purposes of this </w:t>
      </w:r>
      <w:r w:rsidR="0083249D" w:rsidRPr="00CC1DBB">
        <w:t>C</w:t>
      </w:r>
      <w:r w:rsidRPr="00CC1DBB">
        <w:t>lause 2:</w:t>
      </w:r>
    </w:p>
    <w:p w14:paraId="3E419019" w14:textId="77777777" w:rsidR="00263A3C" w:rsidRPr="00CC1DBB" w:rsidRDefault="00263A3C" w:rsidP="00000437">
      <w:pPr>
        <w:pStyle w:val="Sub-sub-paragraph"/>
        <w:tabs>
          <w:tab w:val="clear" w:pos="1985"/>
          <w:tab w:val="num" w:pos="1560"/>
        </w:tabs>
        <w:spacing w:before="120"/>
        <w:ind w:left="1559" w:hanging="425"/>
      </w:pPr>
      <w:r w:rsidRPr="00CC1DBB">
        <w:t>“Expectations” means the Principal’s Minimum Construction Safety Expectations;</w:t>
      </w:r>
    </w:p>
    <w:p w14:paraId="7441F462" w14:textId="77777777" w:rsidR="00263A3C" w:rsidRPr="00CC1DBB" w:rsidRDefault="00263A3C" w:rsidP="00000437">
      <w:pPr>
        <w:pStyle w:val="Sub-sub-paragraph"/>
        <w:tabs>
          <w:tab w:val="clear" w:pos="1985"/>
          <w:tab w:val="num" w:pos="1560"/>
        </w:tabs>
        <w:spacing w:before="120"/>
        <w:ind w:left="1559" w:hanging="425"/>
      </w:pPr>
      <w:r w:rsidRPr="00CC1DBB">
        <w:t>“Measures” means the Principal’s Outcome Based Safety Culture Measures; and</w:t>
      </w:r>
    </w:p>
    <w:p w14:paraId="2149439F" w14:textId="77777777" w:rsidR="00263A3C" w:rsidRPr="00CC1DBB" w:rsidRDefault="00263A3C" w:rsidP="00000437">
      <w:pPr>
        <w:pStyle w:val="Sub-sub-paragraph"/>
        <w:tabs>
          <w:tab w:val="clear" w:pos="1985"/>
          <w:tab w:val="num" w:pos="1560"/>
        </w:tabs>
        <w:spacing w:before="120"/>
        <w:ind w:left="1559" w:hanging="425"/>
      </w:pPr>
      <w:r w:rsidRPr="00CC1DBB">
        <w:t>“Tool” means the Principal’s Safety Culture Assessment Tool,</w:t>
      </w:r>
    </w:p>
    <w:p w14:paraId="12B3F385" w14:textId="53576E9C" w:rsidR="00263A3C" w:rsidRPr="00CC1DBB" w:rsidRDefault="00263A3C" w:rsidP="00000437">
      <w:pPr>
        <w:pStyle w:val="ListParagraph"/>
        <w:spacing w:before="120"/>
        <w:ind w:firstLine="414"/>
      </w:pPr>
      <w:proofErr w:type="gramStart"/>
      <w:r w:rsidRPr="00CC1DBB">
        <w:t>each</w:t>
      </w:r>
      <w:proofErr w:type="gramEnd"/>
      <w:r w:rsidRPr="00CC1DBB">
        <w:t xml:space="preserve"> provided at </w:t>
      </w:r>
      <w:hyperlink r:id="rId8" w:history="1">
        <w:r w:rsidRPr="00CC1DBB">
          <w:rPr>
            <w:rStyle w:val="Hyperlink"/>
            <w:color w:val="0070C0"/>
          </w:rPr>
          <w:t>https://www.dpti.sa.gov.au/contractor_documents/whs</w:t>
        </w:r>
      </w:hyperlink>
      <w:r w:rsidRPr="00CC1DBB">
        <w:t>.</w:t>
      </w:r>
    </w:p>
    <w:p w14:paraId="21D90D47" w14:textId="53F869DA" w:rsidR="00094F63" w:rsidRPr="00CC1DBB" w:rsidRDefault="00F62797" w:rsidP="00094F63">
      <w:pPr>
        <w:pStyle w:val="Paragraph"/>
        <w:rPr>
          <w:b/>
        </w:rPr>
      </w:pPr>
      <w:r w:rsidRPr="00CC1DBB">
        <w:rPr>
          <w:b/>
        </w:rPr>
        <w:t>Self-Assessment</w:t>
      </w:r>
    </w:p>
    <w:p w14:paraId="1EDF0EB3" w14:textId="77777777" w:rsidR="00094F63" w:rsidRPr="00CC1DBB" w:rsidRDefault="00094F63" w:rsidP="00094F63">
      <w:pPr>
        <w:pStyle w:val="Sub-sub-paragraph"/>
        <w:tabs>
          <w:tab w:val="clear" w:pos="1985"/>
          <w:tab w:val="num" w:pos="1560"/>
        </w:tabs>
        <w:spacing w:before="120"/>
        <w:ind w:left="1559" w:hanging="425"/>
      </w:pPr>
      <w:r w:rsidRPr="00CC1DBB">
        <w:t>Introduction</w:t>
      </w:r>
    </w:p>
    <w:p w14:paraId="6E439B74" w14:textId="079E22FD" w:rsidR="00094F63" w:rsidRPr="00CC1DBB" w:rsidRDefault="00094F63" w:rsidP="00094F63">
      <w:pPr>
        <w:pStyle w:val="Sub-sub-paragraph"/>
        <w:numPr>
          <w:ilvl w:val="0"/>
          <w:numId w:val="0"/>
        </w:numPr>
        <w:spacing w:before="120"/>
        <w:ind w:left="1559"/>
      </w:pPr>
      <w:r w:rsidRPr="00CC1DBB">
        <w:t xml:space="preserve">The Measures set out what the Principal expects of a high-standard safety culture. The Tool is a form </w:t>
      </w:r>
      <w:r w:rsidR="00962805" w:rsidRPr="00CC1DBB">
        <w:t>for use</w:t>
      </w:r>
      <w:r w:rsidRPr="00CC1DBB">
        <w:t xml:space="preserve"> by both the Contractor and the Principal to document evidence of the Contractor’s compliance with the Measures.</w:t>
      </w:r>
    </w:p>
    <w:p w14:paraId="32AF9459" w14:textId="664C1089" w:rsidR="00094F63" w:rsidRPr="00CC1DBB" w:rsidRDefault="004F2B68" w:rsidP="00094F63">
      <w:pPr>
        <w:pStyle w:val="Sub-sub-paragraph"/>
        <w:tabs>
          <w:tab w:val="clear" w:pos="1985"/>
          <w:tab w:val="num" w:pos="1560"/>
        </w:tabs>
        <w:spacing w:before="120"/>
        <w:ind w:left="1559" w:hanging="425"/>
      </w:pPr>
      <w:r w:rsidRPr="00CC1DBB">
        <w:t>Self-Assessment</w:t>
      </w:r>
    </w:p>
    <w:p w14:paraId="14DAE0B1" w14:textId="79D408EB" w:rsidR="00094F63" w:rsidRPr="00CC1DBB" w:rsidRDefault="00094F63" w:rsidP="00094F63">
      <w:pPr>
        <w:pStyle w:val="Sub-sub-paragraph"/>
        <w:numPr>
          <w:ilvl w:val="0"/>
          <w:numId w:val="0"/>
        </w:numPr>
        <w:spacing w:before="120"/>
        <w:ind w:left="1559"/>
      </w:pPr>
      <w:r w:rsidRPr="00CC1DBB">
        <w:t xml:space="preserve">The Contractor must provide a completed Tool within </w:t>
      </w:r>
      <w:r w:rsidR="00693593">
        <w:t>14</w:t>
      </w:r>
      <w:r w:rsidRPr="00CC1DBB">
        <w:t xml:space="preserve"> days of Contract award, showing a self-assessment of how it will comply with the Measures. If the Tool is not completed to the Principal’s satisfaction, the Contractor must act on </w:t>
      </w:r>
      <w:r w:rsidR="00AA2249" w:rsidRPr="00CC1DBB">
        <w:t xml:space="preserve">all </w:t>
      </w:r>
      <w:r w:rsidRPr="00CC1DBB">
        <w:t xml:space="preserve">feedback from the Principal to bring the Tool up to a satisfactory standard as soon as practicable. The Principal’s approval of this version of the Tool constitutes a </w:t>
      </w:r>
      <w:r w:rsidRPr="00CC1DBB">
        <w:rPr>
          <w:b/>
        </w:rPr>
        <w:t>HOLD POINT</w:t>
      </w:r>
      <w:r w:rsidRPr="00CC1DBB">
        <w:t>.</w:t>
      </w:r>
      <w:r w:rsidR="00EE57A2" w:rsidRPr="00CC1DBB">
        <w:t xml:space="preserve"> Site access will not be granted until the Principal </w:t>
      </w:r>
      <w:r w:rsidR="00767605" w:rsidRPr="00CC1DBB">
        <w:t>approves this version of the Tool</w:t>
      </w:r>
      <w:r w:rsidR="00EE57A2" w:rsidRPr="00CC1DBB">
        <w:t>.</w:t>
      </w:r>
    </w:p>
    <w:p w14:paraId="6C70595B" w14:textId="0F2347CA" w:rsidR="00094F63" w:rsidRPr="00CC1DBB" w:rsidRDefault="00094F63" w:rsidP="00000437">
      <w:pPr>
        <w:pStyle w:val="Sub-sub-paragraph"/>
        <w:tabs>
          <w:tab w:val="clear" w:pos="1985"/>
          <w:tab w:val="num" w:pos="1560"/>
        </w:tabs>
        <w:spacing w:before="120"/>
        <w:ind w:left="1559" w:hanging="425"/>
      </w:pPr>
      <w:r w:rsidRPr="00CC1DBB">
        <w:t>Principal’s Assessment</w:t>
      </w:r>
    </w:p>
    <w:p w14:paraId="65ED40A6" w14:textId="2D20DB31" w:rsidR="00094F63" w:rsidRPr="00CC1DBB" w:rsidRDefault="00094F63" w:rsidP="00384846">
      <w:pPr>
        <w:pStyle w:val="Sub-sub-paragraph"/>
        <w:numPr>
          <w:ilvl w:val="0"/>
          <w:numId w:val="0"/>
        </w:numPr>
        <w:spacing w:before="120"/>
        <w:ind w:left="1560" w:hanging="1"/>
      </w:pPr>
      <w:r w:rsidRPr="00CC1DBB">
        <w:t>The Tool may also be completed by the Principal as a means of assessing the Contractor’s safety culture during performance of the Contract. The Principal may conduct on-site safety audits, using the Tool to document evidence of compliance with the Measures. Refer to the terms and conditions for full details.</w:t>
      </w:r>
    </w:p>
    <w:p w14:paraId="1C91F71B" w14:textId="3F789EAE" w:rsidR="00263A3C" w:rsidRPr="00CC1DBB" w:rsidRDefault="00263A3C" w:rsidP="00000437">
      <w:pPr>
        <w:pStyle w:val="Paragraph"/>
        <w:rPr>
          <w:b/>
        </w:rPr>
      </w:pPr>
      <w:r w:rsidRPr="00CC1DBB">
        <w:rPr>
          <w:b/>
        </w:rPr>
        <w:t>Minimum Construction Safety Expectations</w:t>
      </w:r>
    </w:p>
    <w:p w14:paraId="26C18CB8" w14:textId="599CE9D2" w:rsidR="00263A3C" w:rsidRPr="00CC1DBB" w:rsidRDefault="00263A3C" w:rsidP="00000437">
      <w:pPr>
        <w:autoSpaceDE w:val="0"/>
        <w:autoSpaceDN w:val="0"/>
        <w:adjustRightInd w:val="0"/>
        <w:spacing w:before="120"/>
        <w:ind w:left="1134"/>
      </w:pPr>
      <w:r w:rsidRPr="00CC1DBB">
        <w:lastRenderedPageBreak/>
        <w:t xml:space="preserve">The Expectations specify minimum onsite safety requirements to be met or exceeded by the Contractor. These Expectations apply in addition to the Contractor’s obligations under the </w:t>
      </w:r>
      <w:proofErr w:type="spellStart"/>
      <w:r w:rsidRPr="00CC1DBB">
        <w:t>WHS</w:t>
      </w:r>
      <w:proofErr w:type="spellEnd"/>
      <w:r w:rsidRPr="00CC1DBB">
        <w:t xml:space="preserve"> Act. Refer to the terms and conditions for </w:t>
      </w:r>
      <w:r w:rsidR="00960C12" w:rsidRPr="00CC1DBB">
        <w:t>full</w:t>
      </w:r>
      <w:r w:rsidRPr="00CC1DBB">
        <w:t xml:space="preserve"> details.</w:t>
      </w:r>
    </w:p>
    <w:p w14:paraId="43BAA011" w14:textId="77777777" w:rsidR="00752386" w:rsidRPr="005C61B1" w:rsidRDefault="00752386" w:rsidP="00752386">
      <w:pPr>
        <w:pStyle w:val="Heading3"/>
        <w:rPr>
          <w:b w:val="0"/>
          <w:caps/>
        </w:rPr>
      </w:pPr>
      <w:bookmarkStart w:id="2" w:name="_Toc487547875"/>
      <w:proofErr w:type="spellStart"/>
      <w:r w:rsidRPr="00752386">
        <w:t>WHS</w:t>
      </w:r>
      <w:proofErr w:type="spellEnd"/>
      <w:r w:rsidRPr="00752386">
        <w:t xml:space="preserve"> MANAGEMENT SYSTEM</w:t>
      </w:r>
      <w:bookmarkEnd w:id="2"/>
    </w:p>
    <w:p w14:paraId="0F5FAE65" w14:textId="77777777" w:rsidR="00752386" w:rsidRPr="005C61B1" w:rsidRDefault="00752386" w:rsidP="00752386">
      <w:pPr>
        <w:pStyle w:val="Paragraph"/>
      </w:pPr>
      <w:r w:rsidRPr="005C61B1">
        <w:t>The Contractor must develop, implement and comply with a WHS Management System based on AS4804 “Occupational Health and Safety Systems – General Guidelines on Principles, Systems and Supporting Techniques”.</w:t>
      </w:r>
    </w:p>
    <w:p w14:paraId="1DF3FA83" w14:textId="77777777" w:rsidR="00752386" w:rsidRPr="005C61B1" w:rsidRDefault="00752386" w:rsidP="00752386">
      <w:pPr>
        <w:pStyle w:val="Paragraph"/>
      </w:pPr>
      <w:r w:rsidRPr="005C61B1">
        <w:t>If not provided previously, the Contractor must submit a copy of its WHS Management System to the Principal at least 28 days prior to the commencement of work on the Site.</w:t>
      </w:r>
    </w:p>
    <w:p w14:paraId="1EEAFB0C" w14:textId="77777777" w:rsidR="00900F02" w:rsidRPr="00033CEF" w:rsidRDefault="00900F02" w:rsidP="005C38FE">
      <w:pPr>
        <w:pStyle w:val="Heading3"/>
        <w:rPr>
          <w:b w:val="0"/>
          <w:caps/>
        </w:rPr>
      </w:pPr>
      <w:bookmarkStart w:id="3" w:name="_Toc487547876"/>
      <w:proofErr w:type="spellStart"/>
      <w:r w:rsidRPr="00033CEF">
        <w:rPr>
          <w:caps/>
        </w:rPr>
        <w:t>WHS</w:t>
      </w:r>
      <w:proofErr w:type="spellEnd"/>
      <w:r w:rsidRPr="00033CEF">
        <w:rPr>
          <w:caps/>
        </w:rPr>
        <w:t xml:space="preserve"> </w:t>
      </w:r>
      <w:r w:rsidRPr="005C38FE">
        <w:t>MANAGEMENT</w:t>
      </w:r>
      <w:r w:rsidRPr="00033CEF">
        <w:rPr>
          <w:caps/>
        </w:rPr>
        <w:t xml:space="preserve"> Plan</w:t>
      </w:r>
      <w:bookmarkEnd w:id="3"/>
    </w:p>
    <w:p w14:paraId="1E46EBD6" w14:textId="77777777" w:rsidR="00900F02" w:rsidRPr="00033CEF" w:rsidRDefault="00900F02" w:rsidP="005C38FE">
      <w:pPr>
        <w:pStyle w:val="Paragraph"/>
      </w:pPr>
      <w:r w:rsidRPr="00033CEF">
        <w:t>The Contractor must develop, implement and comply with a WHS Management Plan which:</w:t>
      </w:r>
    </w:p>
    <w:p w14:paraId="21D23F6B" w14:textId="77777777" w:rsidR="00900F02" w:rsidRPr="00033CEF" w:rsidRDefault="00900F02" w:rsidP="005C38FE">
      <w:pPr>
        <w:pStyle w:val="Sub-sub-paragraph"/>
        <w:tabs>
          <w:tab w:val="clear" w:pos="1985"/>
          <w:tab w:val="num" w:pos="1560"/>
        </w:tabs>
        <w:spacing w:before="120"/>
        <w:ind w:left="1559" w:hanging="425"/>
      </w:pPr>
      <w:r w:rsidRPr="00033CEF">
        <w:t xml:space="preserve"> is specific to the management of safety in relation to the work under this Contract (refer Section 309 of the </w:t>
      </w:r>
      <w:proofErr w:type="spellStart"/>
      <w:r w:rsidRPr="00033CEF">
        <w:t>WHS</w:t>
      </w:r>
      <w:proofErr w:type="spellEnd"/>
      <w:r w:rsidRPr="00033CEF">
        <w:t xml:space="preserve"> Regulations);</w:t>
      </w:r>
    </w:p>
    <w:p w14:paraId="19D7BB13" w14:textId="77777777" w:rsidR="00900F02" w:rsidRPr="00033CEF" w:rsidRDefault="00900F02" w:rsidP="005C38FE">
      <w:pPr>
        <w:pStyle w:val="Sub-sub-paragraph"/>
        <w:tabs>
          <w:tab w:val="clear" w:pos="1985"/>
          <w:tab w:val="num" w:pos="1560"/>
        </w:tabs>
        <w:spacing w:before="120"/>
        <w:ind w:left="1559" w:hanging="425"/>
      </w:pPr>
      <w:r w:rsidRPr="00033CEF">
        <w:t>references the relevant Safe Work Method Statements applicable to the work under the Contract; and</w:t>
      </w:r>
    </w:p>
    <w:p w14:paraId="04307B28" w14:textId="638B3C74" w:rsidR="00900F02" w:rsidRPr="00033CEF" w:rsidRDefault="00900F02" w:rsidP="005C38FE">
      <w:pPr>
        <w:pStyle w:val="Sub-sub-paragraph"/>
        <w:tabs>
          <w:tab w:val="clear" w:pos="1985"/>
          <w:tab w:val="num" w:pos="1560"/>
        </w:tabs>
        <w:spacing w:before="120"/>
        <w:ind w:left="1559" w:hanging="425"/>
      </w:pPr>
      <w:proofErr w:type="gramStart"/>
      <w:r w:rsidRPr="00033CEF">
        <w:t>documents</w:t>
      </w:r>
      <w:proofErr w:type="gramEnd"/>
      <w:r w:rsidRPr="00033CEF">
        <w:t xml:space="preserve"> the Contractor’s methodology to ensure compliance with Clause </w:t>
      </w:r>
      <w:r w:rsidR="00263A3C">
        <w:t>6</w:t>
      </w:r>
      <w:r w:rsidR="00263A3C" w:rsidRPr="00033CEF">
        <w:t xml:space="preserve"> </w:t>
      </w:r>
      <w:r w:rsidRPr="00033CEF">
        <w:t xml:space="preserve">“Site Safety Representative”. </w:t>
      </w:r>
    </w:p>
    <w:p w14:paraId="1287CB5D" w14:textId="77777777" w:rsidR="00900F02" w:rsidRPr="00033CEF" w:rsidRDefault="00900F02" w:rsidP="005C38FE">
      <w:pPr>
        <w:pStyle w:val="Paragraph"/>
      </w:pPr>
      <w:r w:rsidRPr="00033CEF">
        <w:t>If not provided previously, the Contractor must submit a controlled electronic and /or hard copy of the WHS Management Plan at least 28 days prior to the commencement of work on the Site.</w:t>
      </w:r>
    </w:p>
    <w:p w14:paraId="2E4A89C9" w14:textId="77777777" w:rsidR="00900F02" w:rsidRPr="00033CEF" w:rsidRDefault="00900F02" w:rsidP="005C38FE">
      <w:pPr>
        <w:pStyle w:val="Paragraph"/>
      </w:pPr>
      <w:r w:rsidRPr="00033CEF">
        <w:t xml:space="preserve">Provision of the WHS Management Plan, or any proposed amendments to the WHS Management Plan, shall constitute </w:t>
      </w:r>
      <w:r w:rsidRPr="00033CEF">
        <w:rPr>
          <w:snapToGrid w:val="0"/>
          <w:spacing w:val="-2"/>
        </w:rPr>
        <w:t xml:space="preserve">a </w:t>
      </w:r>
      <w:r w:rsidRPr="00033CEF">
        <w:rPr>
          <w:b/>
          <w:bCs/>
          <w:snapToGrid w:val="0"/>
          <w:spacing w:val="-2"/>
        </w:rPr>
        <w:t xml:space="preserve">HOLD </w:t>
      </w:r>
      <w:r w:rsidRPr="00322277">
        <w:rPr>
          <w:b/>
        </w:rPr>
        <w:t>POINT</w:t>
      </w:r>
      <w:r w:rsidRPr="00033CEF">
        <w:t>.</w:t>
      </w:r>
    </w:p>
    <w:p w14:paraId="6CF4A441" w14:textId="77777777" w:rsidR="00900F02" w:rsidRPr="00033CEF" w:rsidRDefault="00900F02" w:rsidP="005C38FE">
      <w:pPr>
        <w:pStyle w:val="Heading3"/>
        <w:rPr>
          <w:b w:val="0"/>
          <w:caps/>
        </w:rPr>
      </w:pPr>
      <w:bookmarkStart w:id="4" w:name="_Toc487547877"/>
      <w:r w:rsidRPr="00033CEF">
        <w:rPr>
          <w:caps/>
        </w:rPr>
        <w:t>safe work method statements</w:t>
      </w:r>
      <w:bookmarkEnd w:id="4"/>
    </w:p>
    <w:p w14:paraId="534A42DA" w14:textId="77777777" w:rsidR="00900F02" w:rsidRPr="00033CEF" w:rsidRDefault="00900F02" w:rsidP="005C38FE">
      <w:pPr>
        <w:pStyle w:val="Paragraph"/>
      </w:pPr>
      <w:r w:rsidRPr="00033CEF">
        <w:t>The Contractor must:</w:t>
      </w:r>
    </w:p>
    <w:p w14:paraId="62F37944" w14:textId="77777777" w:rsidR="00900F02" w:rsidRPr="00033CEF" w:rsidRDefault="00900F02" w:rsidP="005C38FE">
      <w:pPr>
        <w:pStyle w:val="Sub-sub-paragraph"/>
        <w:tabs>
          <w:tab w:val="clear" w:pos="1985"/>
          <w:tab w:val="num" w:pos="1560"/>
        </w:tabs>
        <w:spacing w:before="120"/>
        <w:ind w:left="1559" w:hanging="425"/>
      </w:pPr>
      <w:r w:rsidRPr="00033CEF">
        <w:t>review and assess the work under the Contract to identify high risk construction work;</w:t>
      </w:r>
    </w:p>
    <w:p w14:paraId="31800649" w14:textId="77777777" w:rsidR="00900F02" w:rsidRPr="00033CEF" w:rsidRDefault="00900F02" w:rsidP="005C38FE">
      <w:pPr>
        <w:pStyle w:val="Sub-sub-paragraph"/>
        <w:tabs>
          <w:tab w:val="clear" w:pos="1985"/>
          <w:tab w:val="num" w:pos="1560"/>
        </w:tabs>
        <w:spacing w:before="120"/>
        <w:ind w:left="1559" w:hanging="425"/>
      </w:pPr>
      <w:r w:rsidRPr="00033CEF">
        <w:t xml:space="preserve">for work which is identified as  high risk construction work, prepare and comply with Safe Work Method Statements in accordance with Section 299 of the </w:t>
      </w:r>
      <w:proofErr w:type="spellStart"/>
      <w:r w:rsidRPr="00033CEF">
        <w:t>WHS</w:t>
      </w:r>
      <w:proofErr w:type="spellEnd"/>
      <w:r w:rsidRPr="00033CEF">
        <w:t xml:space="preserve"> Regulations; and</w:t>
      </w:r>
    </w:p>
    <w:p w14:paraId="177DFD88" w14:textId="77777777" w:rsidR="00900F02" w:rsidRPr="00033CEF" w:rsidRDefault="00900F02" w:rsidP="005C38FE">
      <w:pPr>
        <w:pStyle w:val="Sub-sub-paragraph"/>
        <w:tabs>
          <w:tab w:val="clear" w:pos="1985"/>
          <w:tab w:val="num" w:pos="1560"/>
        </w:tabs>
        <w:spacing w:before="120"/>
        <w:ind w:left="1559" w:hanging="425"/>
      </w:pPr>
      <w:r w:rsidRPr="00033CEF">
        <w:t>reassess the risks and control measures in the event of any change to the work environment or methods of work.</w:t>
      </w:r>
    </w:p>
    <w:p w14:paraId="19B70391" w14:textId="77777777" w:rsidR="00900F02" w:rsidRPr="00033CEF" w:rsidRDefault="00900F02" w:rsidP="005C38FE">
      <w:pPr>
        <w:pStyle w:val="Paragraph"/>
      </w:pPr>
      <w:r w:rsidRPr="00033CEF">
        <w:t>If not provided previously, the Contractor must submit a controlled electronic and /or hard copy of the each Safe Work Method Statement at least 7 days prior to the commencement of the work to which the Safe Work Method Statement relates.</w:t>
      </w:r>
    </w:p>
    <w:p w14:paraId="1FF32245" w14:textId="77777777" w:rsidR="00900F02" w:rsidRPr="00033CEF" w:rsidRDefault="00900F02" w:rsidP="005C38FE">
      <w:pPr>
        <w:pStyle w:val="Paragraph"/>
      </w:pPr>
      <w:r w:rsidRPr="00033CEF">
        <w:t xml:space="preserve">Provision of each Safe Work Method Statement, or any proposed amendments to a Safe Work Method Statement, shall constitute </w:t>
      </w:r>
      <w:r w:rsidRPr="00033CEF">
        <w:rPr>
          <w:snapToGrid w:val="0"/>
          <w:spacing w:val="-2"/>
        </w:rPr>
        <w:t xml:space="preserve">a </w:t>
      </w:r>
      <w:r w:rsidRPr="00033CEF">
        <w:rPr>
          <w:b/>
          <w:bCs/>
          <w:snapToGrid w:val="0"/>
          <w:spacing w:val="-2"/>
        </w:rPr>
        <w:t>HOLD POINT</w:t>
      </w:r>
      <w:r w:rsidRPr="00033CEF">
        <w:t>.</w:t>
      </w:r>
    </w:p>
    <w:p w14:paraId="554ED3E3" w14:textId="77777777" w:rsidR="00900F02" w:rsidRPr="00033CEF" w:rsidRDefault="00900F02" w:rsidP="005C38FE">
      <w:pPr>
        <w:pStyle w:val="Heading3"/>
        <w:rPr>
          <w:b w:val="0"/>
          <w:caps/>
        </w:rPr>
      </w:pPr>
      <w:bookmarkStart w:id="5" w:name="_Toc487547878"/>
      <w:r w:rsidRPr="00033CEF">
        <w:rPr>
          <w:caps/>
        </w:rPr>
        <w:t xml:space="preserve">SITE </w:t>
      </w:r>
      <w:r w:rsidRPr="005C38FE">
        <w:t>SAFETY</w:t>
      </w:r>
      <w:r w:rsidRPr="00033CEF">
        <w:rPr>
          <w:caps/>
        </w:rPr>
        <w:t xml:space="preserve"> REPRESENTATIVE</w:t>
      </w:r>
      <w:bookmarkEnd w:id="5"/>
    </w:p>
    <w:p w14:paraId="0AD78656" w14:textId="77777777" w:rsidR="00900F02" w:rsidRPr="00033CEF" w:rsidRDefault="00900F02" w:rsidP="005C38FE">
      <w:pPr>
        <w:pStyle w:val="Paragraph"/>
      </w:pPr>
      <w:r w:rsidRPr="00033CEF">
        <w:t>The Contractor must provide a Site Safety Representative (SSR) who is directly responsible to the Contractor’s senior management and has responsibility for ensuring compliance on Site with all WHS requirements specified in this Contract.</w:t>
      </w:r>
    </w:p>
    <w:p w14:paraId="5D8479FE" w14:textId="77777777" w:rsidR="00900F02" w:rsidRPr="00033CEF" w:rsidRDefault="00900F02" w:rsidP="005C38FE">
      <w:pPr>
        <w:pStyle w:val="Paragraph"/>
      </w:pPr>
      <w:r w:rsidRPr="00033CEF">
        <w:t>At all times, the duties of the SSR in regard to ensuring compliance with this Part G30MP must take precedence over any other activity undertaken by the SSR.</w:t>
      </w:r>
    </w:p>
    <w:p w14:paraId="104D430D" w14:textId="77777777" w:rsidR="00900F02" w:rsidRPr="00033CEF" w:rsidRDefault="00900F02" w:rsidP="005C38FE">
      <w:pPr>
        <w:pStyle w:val="Paragraph"/>
      </w:pPr>
      <w:r w:rsidRPr="00033CEF">
        <w:t>The SSR must:</w:t>
      </w:r>
    </w:p>
    <w:p w14:paraId="7F11FBFF" w14:textId="77777777" w:rsidR="00900F02" w:rsidRPr="00033CEF" w:rsidRDefault="00900F02" w:rsidP="005C38FE">
      <w:pPr>
        <w:pStyle w:val="Sub-sub-paragraph"/>
        <w:tabs>
          <w:tab w:val="clear" w:pos="1985"/>
          <w:tab w:val="num" w:pos="1560"/>
        </w:tabs>
        <w:spacing w:before="120"/>
        <w:ind w:left="1559" w:hanging="425"/>
      </w:pPr>
      <w:r w:rsidRPr="00033CEF">
        <w:t>possess the skills, knowledge and experience to:</w:t>
      </w:r>
    </w:p>
    <w:p w14:paraId="6FFD6144" w14:textId="77777777" w:rsidR="00900F02" w:rsidRPr="00033CEF" w:rsidRDefault="00900F02" w:rsidP="005C38FE">
      <w:pPr>
        <w:numPr>
          <w:ilvl w:val="1"/>
          <w:numId w:val="11"/>
        </w:numPr>
        <w:tabs>
          <w:tab w:val="clear" w:pos="1440"/>
          <w:tab w:val="num" w:pos="1985"/>
        </w:tabs>
        <w:spacing w:before="60" w:after="0"/>
        <w:ind w:left="1985"/>
        <w:jc w:val="left"/>
      </w:pPr>
      <w:r w:rsidRPr="00033CEF">
        <w:t>facilitate an induction and training program for all persons involved in construction activities;</w:t>
      </w:r>
    </w:p>
    <w:p w14:paraId="668962D0" w14:textId="77777777" w:rsidR="00900F02" w:rsidRPr="00033CEF" w:rsidRDefault="00900F02" w:rsidP="005C38FE">
      <w:pPr>
        <w:numPr>
          <w:ilvl w:val="1"/>
          <w:numId w:val="11"/>
        </w:numPr>
        <w:tabs>
          <w:tab w:val="clear" w:pos="1440"/>
          <w:tab w:val="num" w:pos="1985"/>
        </w:tabs>
        <w:spacing w:before="60" w:after="0"/>
        <w:ind w:left="1985"/>
        <w:jc w:val="left"/>
      </w:pPr>
      <w:r w:rsidRPr="00033CEF">
        <w:t>influence behaviours on Site;</w:t>
      </w:r>
    </w:p>
    <w:p w14:paraId="3FA0C22B" w14:textId="77777777" w:rsidR="00900F02" w:rsidRPr="00033CEF" w:rsidRDefault="00900F02" w:rsidP="005C38FE">
      <w:pPr>
        <w:numPr>
          <w:ilvl w:val="1"/>
          <w:numId w:val="11"/>
        </w:numPr>
        <w:tabs>
          <w:tab w:val="clear" w:pos="1440"/>
          <w:tab w:val="num" w:pos="1985"/>
        </w:tabs>
        <w:spacing w:before="60" w:after="0"/>
        <w:ind w:left="1985"/>
        <w:jc w:val="left"/>
      </w:pPr>
      <w:r w:rsidRPr="00033CEF">
        <w:t>initiate, manage and co-coordinate safety initiatives;</w:t>
      </w:r>
    </w:p>
    <w:p w14:paraId="1545C816" w14:textId="77777777" w:rsidR="00900F02" w:rsidRPr="00033CEF" w:rsidRDefault="00900F02" w:rsidP="005C38FE">
      <w:pPr>
        <w:pStyle w:val="Sub-sub-paragraph"/>
        <w:tabs>
          <w:tab w:val="clear" w:pos="1985"/>
          <w:tab w:val="num" w:pos="1560"/>
        </w:tabs>
        <w:spacing w:before="120"/>
        <w:ind w:left="1559" w:hanging="425"/>
      </w:pPr>
      <w:r w:rsidRPr="00033CEF">
        <w:t>have authority to:</w:t>
      </w:r>
    </w:p>
    <w:p w14:paraId="3119AD04" w14:textId="77777777" w:rsidR="00900F02" w:rsidRPr="00033CEF" w:rsidRDefault="00900F02" w:rsidP="005C38FE">
      <w:pPr>
        <w:numPr>
          <w:ilvl w:val="0"/>
          <w:numId w:val="12"/>
        </w:numPr>
        <w:tabs>
          <w:tab w:val="clear" w:pos="1440"/>
          <w:tab w:val="num" w:pos="1985"/>
        </w:tabs>
        <w:spacing w:before="60" w:after="0"/>
        <w:ind w:left="1985"/>
        <w:jc w:val="left"/>
      </w:pPr>
      <w:r w:rsidRPr="00033CEF">
        <w:t xml:space="preserve">enforce the implementation of all measures specified in the </w:t>
      </w:r>
      <w:proofErr w:type="spellStart"/>
      <w:r w:rsidRPr="00033CEF">
        <w:t>WHS</w:t>
      </w:r>
      <w:proofErr w:type="spellEnd"/>
      <w:r w:rsidRPr="00033CEF">
        <w:t xml:space="preserve"> Plan and the Safe Work Method Statements; and</w:t>
      </w:r>
    </w:p>
    <w:p w14:paraId="410F2EB2" w14:textId="77777777" w:rsidR="00900F02" w:rsidRPr="00033CEF" w:rsidRDefault="00900F02" w:rsidP="005C38FE">
      <w:pPr>
        <w:numPr>
          <w:ilvl w:val="0"/>
          <w:numId w:val="12"/>
        </w:numPr>
        <w:tabs>
          <w:tab w:val="clear" w:pos="1440"/>
          <w:tab w:val="num" w:pos="1985"/>
        </w:tabs>
        <w:spacing w:before="60" w:after="0"/>
        <w:ind w:left="1985"/>
        <w:jc w:val="left"/>
      </w:pPr>
      <w:r w:rsidRPr="00033CEF">
        <w:lastRenderedPageBreak/>
        <w:t xml:space="preserve">stop the progress of any part of the Contractor’s work that does not comply with the </w:t>
      </w:r>
      <w:proofErr w:type="spellStart"/>
      <w:r w:rsidRPr="00033CEF">
        <w:t>WHS</w:t>
      </w:r>
      <w:proofErr w:type="spellEnd"/>
      <w:r w:rsidRPr="00033CEF">
        <w:t xml:space="preserve"> Plan, any Safe Work Method Statement and/or for the protection or safety of any person.</w:t>
      </w:r>
    </w:p>
    <w:p w14:paraId="727A6FF2" w14:textId="77777777" w:rsidR="00900F02" w:rsidRPr="00033CEF" w:rsidRDefault="00900F02" w:rsidP="005C38FE">
      <w:pPr>
        <w:pStyle w:val="Heading3"/>
        <w:rPr>
          <w:b w:val="0"/>
          <w:caps/>
        </w:rPr>
      </w:pPr>
      <w:bookmarkStart w:id="6" w:name="_Toc487547879"/>
      <w:r w:rsidRPr="005C38FE">
        <w:t>COMPLIANCE</w:t>
      </w:r>
      <w:r w:rsidRPr="00033CEF">
        <w:rPr>
          <w:caps/>
        </w:rPr>
        <w:t xml:space="preserve"> WITH PART 4 OF THE ROAD TRAFFIC ACT</w:t>
      </w:r>
      <w:bookmarkEnd w:id="6"/>
    </w:p>
    <w:p w14:paraId="623D35FD" w14:textId="77777777" w:rsidR="00900F02" w:rsidRPr="00033CEF" w:rsidRDefault="00900F02" w:rsidP="005C38FE">
      <w:pPr>
        <w:pStyle w:val="Paragraph"/>
      </w:pPr>
      <w:r w:rsidRPr="00033CEF">
        <w:t xml:space="preserve">If this Contract requires the transportation of goods or materials, the Contractor must prepare and comply with Safe Work Method Statements to ensure compliance with “Part 4 - Vehicle Standards, Mass and Loading Requirements and Safety Provisions” of the </w:t>
      </w:r>
      <w:r w:rsidRPr="00033CEF">
        <w:rPr>
          <w:i/>
        </w:rPr>
        <w:t xml:space="preserve">Road Traffic Act 1961 </w:t>
      </w:r>
      <w:r w:rsidRPr="00033CEF">
        <w:t xml:space="preserve">(SA). </w:t>
      </w:r>
    </w:p>
    <w:p w14:paraId="671FF8DA" w14:textId="77777777" w:rsidR="00900F02" w:rsidRPr="00033CEF" w:rsidRDefault="00900F02" w:rsidP="005C38FE">
      <w:pPr>
        <w:pStyle w:val="Paragraph"/>
      </w:pPr>
      <w:r w:rsidRPr="00033CEF">
        <w:t xml:space="preserve"> At a minimum, the Safe Work Method Statements must address (where applicable) the methods for:</w:t>
      </w:r>
    </w:p>
    <w:p w14:paraId="509AC2DF" w14:textId="77777777" w:rsidR="00900F02" w:rsidRPr="00033CEF" w:rsidRDefault="00900F02" w:rsidP="005C38FE">
      <w:pPr>
        <w:pStyle w:val="Sub-sub-paragraph"/>
        <w:tabs>
          <w:tab w:val="clear" w:pos="1985"/>
          <w:tab w:val="num" w:pos="1560"/>
        </w:tabs>
        <w:spacing w:before="120"/>
        <w:ind w:left="1559" w:hanging="425"/>
      </w:pPr>
      <w:r w:rsidRPr="00033CEF">
        <w:t>accurately and safely weighing or measuring the vehicle or load;</w:t>
      </w:r>
    </w:p>
    <w:p w14:paraId="5C32D2A1" w14:textId="77777777" w:rsidR="00900F02" w:rsidRPr="00033CEF" w:rsidRDefault="00900F02" w:rsidP="005C38FE">
      <w:pPr>
        <w:pStyle w:val="Sub-sub-paragraph"/>
        <w:tabs>
          <w:tab w:val="clear" w:pos="1985"/>
          <w:tab w:val="num" w:pos="1560"/>
        </w:tabs>
        <w:spacing w:before="120"/>
        <w:ind w:left="1559" w:hanging="425"/>
      </w:pPr>
      <w:r w:rsidRPr="00033CEF">
        <w:t>safely restraining loads;</w:t>
      </w:r>
    </w:p>
    <w:p w14:paraId="24C760BA" w14:textId="77777777" w:rsidR="00900F02" w:rsidRPr="00033CEF" w:rsidRDefault="00900F02" w:rsidP="005C38FE">
      <w:pPr>
        <w:pStyle w:val="Sub-sub-paragraph"/>
        <w:tabs>
          <w:tab w:val="clear" w:pos="1985"/>
          <w:tab w:val="num" w:pos="1560"/>
        </w:tabs>
        <w:spacing w:before="120"/>
        <w:ind w:left="1559" w:hanging="425"/>
      </w:pPr>
      <w:r w:rsidRPr="00033CEF">
        <w:t>providing reliable evidence to calculate the weight or measurement of the vehicle or load;</w:t>
      </w:r>
    </w:p>
    <w:p w14:paraId="0FD68B2D" w14:textId="77777777" w:rsidR="00900F02" w:rsidRPr="00033CEF" w:rsidRDefault="00900F02" w:rsidP="005C38FE">
      <w:pPr>
        <w:pStyle w:val="Sub-sub-paragraph"/>
        <w:tabs>
          <w:tab w:val="clear" w:pos="1985"/>
          <w:tab w:val="num" w:pos="1560"/>
        </w:tabs>
        <w:spacing w:before="120"/>
        <w:ind w:left="1559" w:hanging="425"/>
      </w:pPr>
      <w:r w:rsidRPr="00033CEF">
        <w:t xml:space="preserve">ensuring that weather conditions or the positioning of the load and / or vehicle does not breach the </w:t>
      </w:r>
      <w:r w:rsidRPr="005C38FE">
        <w:t>Road Traffic Act (SA) 1961</w:t>
      </w:r>
      <w:r w:rsidRPr="00033CEF">
        <w:t>;</w:t>
      </w:r>
    </w:p>
    <w:p w14:paraId="34A5FB64" w14:textId="77777777" w:rsidR="00900F02" w:rsidRPr="00033CEF" w:rsidRDefault="00900F02" w:rsidP="005C38FE">
      <w:pPr>
        <w:pStyle w:val="Sub-sub-paragraph"/>
        <w:tabs>
          <w:tab w:val="clear" w:pos="1985"/>
          <w:tab w:val="num" w:pos="1560"/>
        </w:tabs>
        <w:spacing w:before="120"/>
        <w:ind w:left="1559" w:hanging="425"/>
      </w:pPr>
      <w:r w:rsidRPr="00033CEF">
        <w:t>exercising supervision or control of others involved in the loading of vehicles;</w:t>
      </w:r>
    </w:p>
    <w:p w14:paraId="5EA9EE16" w14:textId="77777777" w:rsidR="00900F02" w:rsidRPr="00033CEF" w:rsidRDefault="00900F02" w:rsidP="005C38FE">
      <w:pPr>
        <w:pStyle w:val="Sub-sub-paragraph"/>
        <w:tabs>
          <w:tab w:val="clear" w:pos="1985"/>
          <w:tab w:val="num" w:pos="1560"/>
        </w:tabs>
        <w:spacing w:before="120"/>
        <w:ind w:left="1559" w:hanging="425"/>
      </w:pPr>
      <w:r w:rsidRPr="00033CEF">
        <w:t>provide information, instruction, training and supervision to employees; and</w:t>
      </w:r>
    </w:p>
    <w:p w14:paraId="381FBC20" w14:textId="77777777" w:rsidR="00900F02" w:rsidRPr="00033CEF" w:rsidRDefault="00900F02" w:rsidP="005C38FE">
      <w:pPr>
        <w:pStyle w:val="Sub-sub-paragraph"/>
        <w:tabs>
          <w:tab w:val="clear" w:pos="1985"/>
          <w:tab w:val="num" w:pos="1560"/>
        </w:tabs>
        <w:spacing w:before="120"/>
        <w:ind w:left="1559" w:hanging="425"/>
      </w:pPr>
      <w:r w:rsidRPr="00033CEF">
        <w:t xml:space="preserve">ensuring compliance with the requirements of the </w:t>
      </w:r>
      <w:r w:rsidRPr="005C38FE">
        <w:t>Heavy Vehicle National Law Act 2013</w:t>
      </w:r>
      <w:r w:rsidRPr="00033CEF">
        <w:t xml:space="preserve"> (SA) and </w:t>
      </w:r>
      <w:r w:rsidRPr="005C38FE">
        <w:t>Heavy Vehicle (Fati</w:t>
      </w:r>
      <w:r w:rsidRPr="00033CEF">
        <w:rPr>
          <w:i/>
        </w:rPr>
        <w:t>gue Management) National Regulation.</w:t>
      </w:r>
    </w:p>
    <w:p w14:paraId="52296EFD" w14:textId="699E10BE" w:rsidR="00900F02" w:rsidRPr="00033CEF" w:rsidRDefault="00391233" w:rsidP="005C38FE">
      <w:pPr>
        <w:pStyle w:val="Heading3"/>
        <w:rPr>
          <w:b w:val="0"/>
          <w:caps/>
        </w:rPr>
      </w:pPr>
      <w:bookmarkStart w:id="7" w:name="_Toc487547880"/>
      <w:r w:rsidRPr="005C38FE">
        <w:t>AUDITS</w:t>
      </w:r>
      <w:bookmarkEnd w:id="7"/>
    </w:p>
    <w:p w14:paraId="2FBFD2A1" w14:textId="77777777" w:rsidR="00900F02" w:rsidRPr="00033CEF" w:rsidRDefault="00900F02" w:rsidP="005C38FE">
      <w:pPr>
        <w:pStyle w:val="Paragraph"/>
      </w:pPr>
      <w:r w:rsidRPr="00033CEF">
        <w:t>The Contractor’s WHS Management Plan must include an audit schedule and reference an audit procedure.</w:t>
      </w:r>
    </w:p>
    <w:p w14:paraId="3F1ED29E" w14:textId="77777777" w:rsidR="00900F02" w:rsidRPr="00033CEF" w:rsidRDefault="00900F02" w:rsidP="005C38FE">
      <w:pPr>
        <w:pStyle w:val="Paragraph"/>
      </w:pPr>
      <w:r w:rsidRPr="00033CEF">
        <w:t>In addition to audits arranged by the Contractor, the Contractor must allow external audits of the Contractor and any subcontractor to be undertaken.  Audits may be undertaken of the Contractor’s compliance with any matter relating to the safety requirements of this contract or legislation.  The audits may be undertaken without notice at any time.</w:t>
      </w:r>
    </w:p>
    <w:p w14:paraId="61DB603E" w14:textId="77777777" w:rsidR="00900F02" w:rsidRPr="00033CEF" w:rsidRDefault="00900F02" w:rsidP="005C38FE">
      <w:pPr>
        <w:pStyle w:val="Paragraph"/>
      </w:pPr>
      <w:r w:rsidRPr="00033CEF">
        <w:t>Where a non-conformance is detected during an audit, the Contractor must take immediate action to rectify the non-conformance.</w:t>
      </w:r>
    </w:p>
    <w:p w14:paraId="2B703DD9" w14:textId="06553072" w:rsidR="00900F02" w:rsidRPr="00033CEF" w:rsidRDefault="00391233" w:rsidP="005C38FE">
      <w:pPr>
        <w:pStyle w:val="Heading3"/>
        <w:rPr>
          <w:b w:val="0"/>
          <w:caps/>
        </w:rPr>
      </w:pPr>
      <w:bookmarkStart w:id="8" w:name="_Toc487547881"/>
      <w:r w:rsidRPr="005C38FE">
        <w:t>PERFORMANCE</w:t>
      </w:r>
      <w:r w:rsidRPr="00033CEF">
        <w:t xml:space="preserve"> REPORTING</w:t>
      </w:r>
      <w:bookmarkEnd w:id="8"/>
    </w:p>
    <w:p w14:paraId="3093B09B" w14:textId="77777777" w:rsidR="00900F02" w:rsidRPr="00033CEF" w:rsidRDefault="00900F02" w:rsidP="005C38FE">
      <w:pPr>
        <w:pStyle w:val="Paragraph"/>
      </w:pPr>
      <w:r w:rsidRPr="00033CEF">
        <w:t>At each site meeting or upon request, the Contractor must provide evidence of the Contractor’s safety management performance, including the following information:</w:t>
      </w:r>
    </w:p>
    <w:p w14:paraId="2CEB0A4B" w14:textId="77777777" w:rsidR="00900F02" w:rsidRPr="00033CEF" w:rsidRDefault="00900F02" w:rsidP="005C38FE">
      <w:pPr>
        <w:pStyle w:val="Sub-sub-paragraph"/>
        <w:tabs>
          <w:tab w:val="clear" w:pos="1985"/>
          <w:tab w:val="num" w:pos="1560"/>
        </w:tabs>
        <w:spacing w:before="120"/>
        <w:ind w:left="1559" w:hanging="425"/>
      </w:pPr>
      <w:r w:rsidRPr="00033CEF">
        <w:t>number of lost time injuries;</w:t>
      </w:r>
    </w:p>
    <w:p w14:paraId="4FF6ACDF" w14:textId="77777777" w:rsidR="00900F02" w:rsidRPr="00033CEF" w:rsidRDefault="00900F02" w:rsidP="005C38FE">
      <w:pPr>
        <w:pStyle w:val="Sub-sub-paragraph"/>
        <w:tabs>
          <w:tab w:val="clear" w:pos="1985"/>
          <w:tab w:val="num" w:pos="1560"/>
        </w:tabs>
        <w:spacing w:before="120"/>
        <w:ind w:left="1559" w:hanging="425"/>
      </w:pPr>
      <w:r w:rsidRPr="00033CEF">
        <w:t>working days lost due to injury;</w:t>
      </w:r>
    </w:p>
    <w:p w14:paraId="4552C7BF" w14:textId="77777777" w:rsidR="00900F02" w:rsidRPr="00033CEF" w:rsidRDefault="00900F02" w:rsidP="005C38FE">
      <w:pPr>
        <w:pStyle w:val="Sub-sub-paragraph"/>
        <w:tabs>
          <w:tab w:val="clear" w:pos="1985"/>
          <w:tab w:val="num" w:pos="1560"/>
        </w:tabs>
        <w:spacing w:before="120"/>
        <w:ind w:left="1559" w:hanging="425"/>
      </w:pPr>
      <w:r w:rsidRPr="00033CEF">
        <w:t>current status of any injured personnel, damaged property;</w:t>
      </w:r>
    </w:p>
    <w:p w14:paraId="13C5B0F9" w14:textId="77777777" w:rsidR="00900F02" w:rsidRPr="00033CEF" w:rsidRDefault="00900F02" w:rsidP="005C38FE">
      <w:pPr>
        <w:pStyle w:val="Sub-sub-paragraph"/>
        <w:tabs>
          <w:tab w:val="clear" w:pos="1985"/>
          <w:tab w:val="num" w:pos="1560"/>
        </w:tabs>
        <w:spacing w:before="120"/>
        <w:ind w:left="1559" w:hanging="425"/>
      </w:pPr>
      <w:r w:rsidRPr="00033CEF">
        <w:t xml:space="preserve">status of the implementation and outcomes of corrective actions undertaken as a result of </w:t>
      </w:r>
      <w:proofErr w:type="spellStart"/>
      <w:r w:rsidRPr="00033CEF">
        <w:t>WHS</w:t>
      </w:r>
      <w:proofErr w:type="spellEnd"/>
      <w:r w:rsidRPr="00033CEF">
        <w:t xml:space="preserve"> inspections and hazard identification; and</w:t>
      </w:r>
    </w:p>
    <w:p w14:paraId="2222F7FB" w14:textId="77777777" w:rsidR="00900F02" w:rsidRPr="00033CEF" w:rsidRDefault="00900F02" w:rsidP="005C38FE">
      <w:pPr>
        <w:pStyle w:val="Sub-sub-paragraph"/>
        <w:tabs>
          <w:tab w:val="clear" w:pos="1985"/>
          <w:tab w:val="num" w:pos="1560"/>
        </w:tabs>
        <w:spacing w:before="120"/>
        <w:ind w:left="1559" w:hanging="425"/>
      </w:pPr>
      <w:r w:rsidRPr="00033CEF">
        <w:t xml:space="preserve">evidence of </w:t>
      </w:r>
      <w:proofErr w:type="spellStart"/>
      <w:r w:rsidRPr="00033CEF">
        <w:t>WHS</w:t>
      </w:r>
      <w:proofErr w:type="spellEnd"/>
      <w:r w:rsidRPr="00033CEF">
        <w:t xml:space="preserve"> management system audits undertaken.</w:t>
      </w:r>
    </w:p>
    <w:p w14:paraId="5E88DC9F" w14:textId="77777777" w:rsidR="00900F02" w:rsidRPr="00033CEF" w:rsidRDefault="00900F02" w:rsidP="005C38FE">
      <w:pPr>
        <w:pStyle w:val="Paragraph"/>
      </w:pPr>
      <w:r w:rsidRPr="00033CEF">
        <w:t>When requested, the Contractor must provide reports on WHS inspections, audits or assessments undertaken during the course of the Contract.</w:t>
      </w:r>
    </w:p>
    <w:p w14:paraId="63DF6A36" w14:textId="24C398CC" w:rsidR="00900F02" w:rsidRPr="00033CEF" w:rsidRDefault="00391233" w:rsidP="005C38FE">
      <w:pPr>
        <w:pStyle w:val="Heading3"/>
        <w:rPr>
          <w:b w:val="0"/>
          <w:caps/>
        </w:rPr>
      </w:pPr>
      <w:bookmarkStart w:id="9" w:name="_Toc487547882"/>
      <w:r w:rsidRPr="005C38FE">
        <w:t>INCIDENT</w:t>
      </w:r>
      <w:r w:rsidRPr="00033CEF">
        <w:t xml:space="preserve"> NOTIFICATION</w:t>
      </w:r>
      <w:bookmarkEnd w:id="9"/>
    </w:p>
    <w:p w14:paraId="03E36ADD" w14:textId="77777777" w:rsidR="00900F02" w:rsidRPr="00033CEF" w:rsidRDefault="00900F02" w:rsidP="005C38FE">
      <w:pPr>
        <w:pStyle w:val="Paragraph"/>
      </w:pPr>
      <w:r w:rsidRPr="00033CEF">
        <w:t>In the event of a notifiable incident occurring, the Contractor must:</w:t>
      </w:r>
    </w:p>
    <w:p w14:paraId="46874ED1" w14:textId="77777777" w:rsidR="00900F02" w:rsidRPr="00033CEF" w:rsidRDefault="00900F02" w:rsidP="005C38FE">
      <w:pPr>
        <w:pStyle w:val="Sub-sub-paragraph"/>
        <w:tabs>
          <w:tab w:val="clear" w:pos="1985"/>
          <w:tab w:val="num" w:pos="1560"/>
        </w:tabs>
        <w:spacing w:before="120"/>
        <w:ind w:left="1559" w:hanging="425"/>
      </w:pPr>
      <w:r w:rsidRPr="00033CEF">
        <w:t xml:space="preserve"> inform the Principal at the same time as informing the regulator; and</w:t>
      </w:r>
    </w:p>
    <w:p w14:paraId="4FE77A0C" w14:textId="77777777" w:rsidR="00900F02" w:rsidRPr="00033CEF" w:rsidRDefault="00900F02" w:rsidP="005C38FE">
      <w:pPr>
        <w:pStyle w:val="Sub-sub-paragraph"/>
        <w:tabs>
          <w:tab w:val="clear" w:pos="1985"/>
          <w:tab w:val="num" w:pos="1560"/>
        </w:tabs>
        <w:spacing w:before="120"/>
        <w:ind w:left="1559" w:hanging="425"/>
      </w:pPr>
      <w:r w:rsidRPr="00033CEF">
        <w:t>within 3 days of any such incident, provide a report giving complete details of the incident, including results of investigations into its cause and any recommendations or strategies for prevention in the future.</w:t>
      </w:r>
    </w:p>
    <w:p w14:paraId="444E8907" w14:textId="45D350C1" w:rsidR="00900F02" w:rsidRPr="00033CEF" w:rsidRDefault="00391233" w:rsidP="005C38FE">
      <w:pPr>
        <w:pStyle w:val="Heading3"/>
        <w:rPr>
          <w:b w:val="0"/>
          <w:caps/>
        </w:rPr>
      </w:pPr>
      <w:bookmarkStart w:id="10" w:name="_Toc487547883"/>
      <w:r w:rsidRPr="00033CEF">
        <w:t>NON-</w:t>
      </w:r>
      <w:r w:rsidRPr="005C38FE">
        <w:t>COMPLIANCE</w:t>
      </w:r>
      <w:bookmarkEnd w:id="10"/>
    </w:p>
    <w:p w14:paraId="515A3473" w14:textId="77777777" w:rsidR="00900F02" w:rsidRPr="00033CEF" w:rsidRDefault="00900F02" w:rsidP="005C38FE">
      <w:pPr>
        <w:pStyle w:val="Paragraph"/>
      </w:pPr>
      <w:r w:rsidRPr="00033CEF">
        <w:t>The Contractor’s attention is drawn to the powers of the Principal under the General Conditions of Contract to direct the Contractor to suspend the progress of the whole or work under the Contract for such time as the Principal thinks fit for the protection or safety of any person or property.</w:t>
      </w:r>
    </w:p>
    <w:p w14:paraId="2EF144E2" w14:textId="77777777" w:rsidR="00900F02" w:rsidRPr="00033CEF" w:rsidRDefault="00900F02" w:rsidP="005C38FE">
      <w:pPr>
        <w:pStyle w:val="Heading3"/>
        <w:rPr>
          <w:b w:val="0"/>
          <w:caps/>
        </w:rPr>
      </w:pPr>
      <w:bookmarkStart w:id="11" w:name="_Toc487547884"/>
      <w:r w:rsidRPr="00033CEF">
        <w:rPr>
          <w:caps/>
        </w:rPr>
        <w:t xml:space="preserve">HOLD </w:t>
      </w:r>
      <w:r w:rsidRPr="005C38FE">
        <w:t>POINTS</w:t>
      </w:r>
      <w:bookmarkEnd w:id="11"/>
    </w:p>
    <w:p w14:paraId="20B0D154" w14:textId="77777777" w:rsidR="00900F02" w:rsidRPr="00033CEF" w:rsidRDefault="00900F02" w:rsidP="005C38FE">
      <w:pPr>
        <w:pStyle w:val="Paragraph"/>
      </w:pPr>
      <w:r w:rsidRPr="00033CEF">
        <w:t>The following is a summary of Hold Points referenced in this Part:</w:t>
      </w:r>
    </w:p>
    <w:p w14:paraId="3A5B4CDF" w14:textId="77777777" w:rsidR="00900F02" w:rsidRPr="00033CEF" w:rsidRDefault="00900F02" w:rsidP="00900F02">
      <w:pPr>
        <w:jc w:val="left"/>
      </w:pPr>
    </w:p>
    <w:tbl>
      <w:tblPr>
        <w:tblW w:w="9498"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18"/>
        <w:gridCol w:w="6095"/>
        <w:gridCol w:w="1985"/>
      </w:tblGrid>
      <w:tr w:rsidR="00900F02" w:rsidRPr="00033CEF" w14:paraId="36220DD0" w14:textId="77777777" w:rsidTr="003A0713">
        <w:tc>
          <w:tcPr>
            <w:tcW w:w="1418" w:type="dxa"/>
            <w:vAlign w:val="center"/>
          </w:tcPr>
          <w:p w14:paraId="5BA0DA2E" w14:textId="77777777" w:rsidR="00900F02" w:rsidRPr="00033CEF" w:rsidRDefault="00900F02" w:rsidP="003A0713">
            <w:pPr>
              <w:suppressAutoHyphens/>
              <w:jc w:val="center"/>
              <w:rPr>
                <w:b/>
              </w:rPr>
            </w:pPr>
            <w:r w:rsidRPr="00033CEF">
              <w:rPr>
                <w:b/>
              </w:rPr>
              <w:t>CLAUSE REF.</w:t>
            </w:r>
          </w:p>
        </w:tc>
        <w:tc>
          <w:tcPr>
            <w:tcW w:w="6095" w:type="dxa"/>
            <w:vAlign w:val="center"/>
          </w:tcPr>
          <w:p w14:paraId="44DF0861" w14:textId="77777777" w:rsidR="00900F02" w:rsidRPr="00033CEF" w:rsidRDefault="00900F02" w:rsidP="003A0713">
            <w:pPr>
              <w:keepNext/>
              <w:suppressAutoHyphens/>
              <w:jc w:val="center"/>
              <w:rPr>
                <w:b/>
              </w:rPr>
            </w:pPr>
            <w:r w:rsidRPr="00033CEF">
              <w:rPr>
                <w:b/>
              </w:rPr>
              <w:t>HOLD POINT</w:t>
            </w:r>
          </w:p>
        </w:tc>
        <w:tc>
          <w:tcPr>
            <w:tcW w:w="1985" w:type="dxa"/>
            <w:vAlign w:val="center"/>
          </w:tcPr>
          <w:p w14:paraId="3B5139C5" w14:textId="77777777" w:rsidR="00900F02" w:rsidRPr="00033CEF" w:rsidRDefault="00900F02" w:rsidP="003A0713">
            <w:pPr>
              <w:keepNext/>
              <w:suppressAutoHyphens/>
              <w:jc w:val="center"/>
              <w:rPr>
                <w:b/>
              </w:rPr>
            </w:pPr>
            <w:r w:rsidRPr="00033CEF">
              <w:rPr>
                <w:b/>
              </w:rPr>
              <w:t>RESPONSE TIME</w:t>
            </w:r>
          </w:p>
        </w:tc>
      </w:tr>
      <w:tr w:rsidR="009B5E97" w:rsidRPr="00033CEF" w14:paraId="0274A1B0" w14:textId="77777777" w:rsidTr="003A0713">
        <w:tc>
          <w:tcPr>
            <w:tcW w:w="1418" w:type="dxa"/>
          </w:tcPr>
          <w:p w14:paraId="242AD11F" w14:textId="7E6CD7E7" w:rsidR="009B5E97" w:rsidRDefault="009B5E97" w:rsidP="00AA2249">
            <w:pPr>
              <w:suppressAutoHyphens/>
              <w:spacing w:before="60"/>
              <w:jc w:val="center"/>
            </w:pPr>
            <w:r>
              <w:t>2.</w:t>
            </w:r>
            <w:r w:rsidR="00094F63">
              <w:t>2</w:t>
            </w:r>
            <w:r>
              <w:t>(b)</w:t>
            </w:r>
          </w:p>
        </w:tc>
        <w:tc>
          <w:tcPr>
            <w:tcW w:w="6095" w:type="dxa"/>
          </w:tcPr>
          <w:p w14:paraId="19A55746" w14:textId="28E6F6E3" w:rsidR="009B5E97" w:rsidRPr="00033CEF" w:rsidRDefault="0036785D">
            <w:pPr>
              <w:suppressAutoHyphens/>
              <w:spacing w:before="60"/>
              <w:jc w:val="left"/>
            </w:pPr>
            <w:r>
              <w:t>Principal’s approval of the Safety Culture Assessment Tool provided under Clause 2.</w:t>
            </w:r>
            <w:r w:rsidR="00094F63">
              <w:t>2</w:t>
            </w:r>
            <w:r>
              <w:t>(b).</w:t>
            </w:r>
            <w:r w:rsidR="0058758E">
              <w:t xml:space="preserve"> Site access will not be granted until this hold point is released.</w:t>
            </w:r>
          </w:p>
        </w:tc>
        <w:tc>
          <w:tcPr>
            <w:tcW w:w="1985" w:type="dxa"/>
          </w:tcPr>
          <w:p w14:paraId="7711D711" w14:textId="5E83B471" w:rsidR="009B5E97" w:rsidRPr="00033CEF" w:rsidRDefault="00A263D0" w:rsidP="003A0713">
            <w:pPr>
              <w:suppressAutoHyphens/>
              <w:spacing w:before="60"/>
              <w:jc w:val="center"/>
            </w:pPr>
            <w:r>
              <w:t>7 days</w:t>
            </w:r>
          </w:p>
        </w:tc>
      </w:tr>
      <w:tr w:rsidR="00900F02" w:rsidRPr="00033CEF" w14:paraId="4212C722" w14:textId="77777777" w:rsidTr="003A0713">
        <w:tc>
          <w:tcPr>
            <w:tcW w:w="1418" w:type="dxa"/>
          </w:tcPr>
          <w:p w14:paraId="5378B6D5" w14:textId="14CD2E3D" w:rsidR="00900F02" w:rsidRPr="00033CEF" w:rsidRDefault="00752386" w:rsidP="00752386">
            <w:pPr>
              <w:suppressAutoHyphens/>
              <w:spacing w:before="60"/>
              <w:jc w:val="center"/>
            </w:pPr>
            <w:r>
              <w:t>3</w:t>
            </w:r>
            <w:r w:rsidR="00900F02" w:rsidRPr="00033CEF">
              <w:t>.</w:t>
            </w:r>
          </w:p>
        </w:tc>
        <w:tc>
          <w:tcPr>
            <w:tcW w:w="6095" w:type="dxa"/>
          </w:tcPr>
          <w:p w14:paraId="590AF427" w14:textId="77777777" w:rsidR="00900F02" w:rsidRPr="00033CEF" w:rsidRDefault="00900F02" w:rsidP="003A0713">
            <w:pPr>
              <w:suppressAutoHyphens/>
              <w:spacing w:before="60"/>
              <w:jc w:val="left"/>
            </w:pPr>
            <w:r w:rsidRPr="00033CEF">
              <w:t xml:space="preserve">Submission of </w:t>
            </w:r>
            <w:proofErr w:type="spellStart"/>
            <w:r w:rsidRPr="00033CEF">
              <w:t>WHS</w:t>
            </w:r>
            <w:proofErr w:type="spellEnd"/>
            <w:r w:rsidRPr="00033CEF">
              <w:t xml:space="preserve"> Management Plan or proposed amendments to the </w:t>
            </w:r>
            <w:proofErr w:type="spellStart"/>
            <w:r w:rsidRPr="00033CEF">
              <w:t>WHS</w:t>
            </w:r>
            <w:proofErr w:type="spellEnd"/>
            <w:r w:rsidRPr="00033CEF">
              <w:t xml:space="preserve"> Management Plan</w:t>
            </w:r>
          </w:p>
        </w:tc>
        <w:tc>
          <w:tcPr>
            <w:tcW w:w="1985" w:type="dxa"/>
          </w:tcPr>
          <w:p w14:paraId="14454FCA" w14:textId="77777777" w:rsidR="00900F02" w:rsidRPr="00033CEF" w:rsidRDefault="00900F02" w:rsidP="003A0713">
            <w:pPr>
              <w:suppressAutoHyphens/>
              <w:spacing w:before="60"/>
              <w:jc w:val="center"/>
            </w:pPr>
            <w:r w:rsidRPr="00033CEF">
              <w:t>14 days</w:t>
            </w:r>
          </w:p>
        </w:tc>
      </w:tr>
      <w:tr w:rsidR="00900F02" w:rsidRPr="00033CEF" w14:paraId="0AEA5BA0" w14:textId="77777777" w:rsidTr="003A0713">
        <w:tc>
          <w:tcPr>
            <w:tcW w:w="1418" w:type="dxa"/>
          </w:tcPr>
          <w:p w14:paraId="656E3984" w14:textId="512D41F9" w:rsidR="00900F02" w:rsidRPr="00033CEF" w:rsidRDefault="00752386" w:rsidP="00752386">
            <w:pPr>
              <w:suppressAutoHyphens/>
              <w:spacing w:before="60"/>
              <w:jc w:val="center"/>
            </w:pPr>
            <w:r>
              <w:t>4</w:t>
            </w:r>
            <w:r w:rsidR="00900F02" w:rsidRPr="00033CEF">
              <w:t>.</w:t>
            </w:r>
          </w:p>
        </w:tc>
        <w:tc>
          <w:tcPr>
            <w:tcW w:w="6095" w:type="dxa"/>
          </w:tcPr>
          <w:p w14:paraId="50A178CF" w14:textId="77777777" w:rsidR="00900F02" w:rsidRPr="00033CEF" w:rsidRDefault="00900F02" w:rsidP="003A0713">
            <w:pPr>
              <w:suppressAutoHyphens/>
              <w:spacing w:before="60"/>
              <w:jc w:val="left"/>
            </w:pPr>
            <w:r w:rsidRPr="00033CEF">
              <w:t xml:space="preserve">Submission of Safety Work Method Statements or any proposed amendments to a Safe Work Method Statement </w:t>
            </w:r>
          </w:p>
        </w:tc>
        <w:tc>
          <w:tcPr>
            <w:tcW w:w="1985" w:type="dxa"/>
          </w:tcPr>
          <w:p w14:paraId="5DA480B4" w14:textId="77777777" w:rsidR="00900F02" w:rsidRPr="00033CEF" w:rsidRDefault="00900F02" w:rsidP="003A0713">
            <w:pPr>
              <w:suppressAutoHyphens/>
              <w:spacing w:before="60"/>
              <w:jc w:val="center"/>
            </w:pPr>
            <w:r w:rsidRPr="00033CEF">
              <w:t>7 days</w:t>
            </w:r>
          </w:p>
        </w:tc>
      </w:tr>
    </w:tbl>
    <w:p w14:paraId="5BC9C19F" w14:textId="77777777" w:rsidR="00900F02" w:rsidRPr="00033CEF" w:rsidRDefault="00900F02" w:rsidP="00900F02">
      <w:pPr>
        <w:jc w:val="left"/>
      </w:pPr>
    </w:p>
    <w:p w14:paraId="6615C8F3" w14:textId="77777777" w:rsidR="00900F02" w:rsidRPr="00033CEF" w:rsidRDefault="00900F02" w:rsidP="00900F02">
      <w:pPr>
        <w:jc w:val="left"/>
      </w:pPr>
    </w:p>
    <w:p w14:paraId="6CCB0A76" w14:textId="77777777" w:rsidR="00900F02" w:rsidRPr="00033CEF" w:rsidRDefault="00900F02" w:rsidP="00900F02">
      <w:pPr>
        <w:jc w:val="left"/>
      </w:pPr>
    </w:p>
    <w:p w14:paraId="445D3832" w14:textId="77777777" w:rsidR="00900F02" w:rsidRPr="00033CEF" w:rsidRDefault="00900F02" w:rsidP="00900F02">
      <w:pPr>
        <w:jc w:val="left"/>
      </w:pPr>
    </w:p>
    <w:p w14:paraId="47419C39" w14:textId="77777777" w:rsidR="00900F02" w:rsidRPr="00033CEF" w:rsidRDefault="00900F02" w:rsidP="00900F02">
      <w:pPr>
        <w:jc w:val="center"/>
      </w:pPr>
      <w:r w:rsidRPr="00033CEF">
        <w:t>___________</w:t>
      </w:r>
    </w:p>
    <w:p w14:paraId="3B130A2E" w14:textId="77777777" w:rsidR="00900F02" w:rsidRPr="00033CEF" w:rsidRDefault="00900F02" w:rsidP="00900F02">
      <w:pPr>
        <w:jc w:val="left"/>
      </w:pPr>
    </w:p>
    <w:p w14:paraId="647A4786" w14:textId="77777777" w:rsidR="00900F02" w:rsidRPr="00033CEF" w:rsidRDefault="00900F02" w:rsidP="00900F02">
      <w:pPr>
        <w:jc w:val="left"/>
      </w:pPr>
    </w:p>
    <w:p w14:paraId="4216BE17" w14:textId="77777777" w:rsidR="00900F02" w:rsidRPr="00033CEF" w:rsidRDefault="00900F02" w:rsidP="00900F02"/>
    <w:p w14:paraId="251201C1" w14:textId="77777777" w:rsidR="00B34C71" w:rsidRPr="00B34C71" w:rsidRDefault="00B34C71" w:rsidP="00B34C71"/>
    <w:sectPr w:rsidR="00B34C71" w:rsidRPr="00B34C71" w:rsidSect="00582BAC">
      <w:headerReference w:type="default" r:id="rId9"/>
      <w:footerReference w:type="default" r:id="rId10"/>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853632" w:rsidRDefault="00853632">
      <w:r>
        <w:separator/>
      </w:r>
    </w:p>
  </w:endnote>
  <w:endnote w:type="continuationSeparator" w:id="0">
    <w:p w14:paraId="067F3713" w14:textId="77777777" w:rsidR="00853632" w:rsidRDefault="0085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8E7010" w:rsidRPr="00C66580" w:rsidRDefault="008E7010" w:rsidP="00C66580">
    <w:pPr>
      <w:tabs>
        <w:tab w:val="right" w:pos="9356"/>
      </w:tabs>
    </w:pPr>
  </w:p>
  <w:p w14:paraId="6CCD9394" w14:textId="77777777" w:rsidR="008E7010" w:rsidRPr="00C66580" w:rsidRDefault="008E7010"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853632" w:rsidRDefault="00853632">
      <w:r>
        <w:separator/>
      </w:r>
    </w:p>
  </w:footnote>
  <w:footnote w:type="continuationSeparator" w:id="0">
    <w:p w14:paraId="7ED81CEF" w14:textId="77777777" w:rsidR="00853632" w:rsidRDefault="0085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8A70" w14:textId="40AFE4CD" w:rsidR="008E7010" w:rsidRPr="00C66580" w:rsidRDefault="008E7010" w:rsidP="00C66580">
    <w:pPr>
      <w:tabs>
        <w:tab w:val="right" w:pos="9356"/>
      </w:tabs>
      <w:spacing w:after="0"/>
      <w:jc w:val="left"/>
    </w:pPr>
    <w:r w:rsidRPr="00C66580">
      <w:t xml:space="preserve">Edition: </w:t>
    </w:r>
    <w:r w:rsidR="001B1B31">
      <w:t>October 2017</w:t>
    </w:r>
    <w:r w:rsidRPr="00C66580">
      <w:tab/>
    </w:r>
    <w:r w:rsidR="00391233">
      <w:t xml:space="preserve">Part G30 Work, Health and Safety </w:t>
    </w:r>
  </w:p>
  <w:p w14:paraId="149EAC07" w14:textId="77777777" w:rsidR="008E7010" w:rsidRDefault="008E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2" w15:restartNumberingAfterBreak="0">
    <w:nsid w:val="1ABF4265"/>
    <w:multiLevelType w:val="hybridMultilevel"/>
    <w:tmpl w:val="137E1A62"/>
    <w:lvl w:ilvl="0" w:tplc="5DBAFE3A">
      <w:start w:val="1"/>
      <w:numFmt w:val="lowerLetter"/>
      <w:lvlText w:val="(%1)"/>
      <w:lvlJc w:val="left"/>
      <w:pPr>
        <w:tabs>
          <w:tab w:val="num" w:pos="786"/>
        </w:tabs>
        <w:ind w:left="786" w:hanging="360"/>
      </w:pPr>
    </w:lvl>
    <w:lvl w:ilvl="1" w:tplc="301066E2">
      <w:start w:val="1"/>
      <w:numFmt w:val="lowerRoman"/>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9C410E9"/>
    <w:multiLevelType w:val="multilevel"/>
    <w:tmpl w:val="B53A298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5" w15:restartNumberingAfterBreak="0">
    <w:nsid w:val="418013A4"/>
    <w:multiLevelType w:val="multilevel"/>
    <w:tmpl w:val="B4CEC8E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6"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7" w15:restartNumberingAfterBreak="0">
    <w:nsid w:val="54091B7B"/>
    <w:multiLevelType w:val="hybridMultilevel"/>
    <w:tmpl w:val="097A08EA"/>
    <w:lvl w:ilvl="0" w:tplc="D73815E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0E461B0"/>
    <w:multiLevelType w:val="hybridMultilevel"/>
    <w:tmpl w:val="83B2D818"/>
    <w:lvl w:ilvl="0" w:tplc="0C09000F">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62716538"/>
    <w:multiLevelType w:val="hybridMultilevel"/>
    <w:tmpl w:val="CF0A5558"/>
    <w:lvl w:ilvl="0" w:tplc="301066E2">
      <w:start w:val="1"/>
      <w:numFmt w:val="lowerRoman"/>
      <w:lvlText w:val="(%1)"/>
      <w:lvlJc w:val="lef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11"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13"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3"/>
  </w:num>
  <w:num w:numId="4">
    <w:abstractNumId w:val="11"/>
  </w:num>
  <w:num w:numId="5">
    <w:abstractNumId w:val="10"/>
  </w:num>
  <w:num w:numId="6">
    <w:abstractNumId w:val="0"/>
  </w:num>
  <w:num w:numId="7">
    <w:abstractNumId w:val="6"/>
  </w:num>
  <w:num w:numId="8">
    <w:abstractNumId w:val="4"/>
  </w:num>
  <w:num w:numId="9">
    <w:abstractNumId w:val="1"/>
  </w:num>
  <w:num w:numId="10">
    <w:abstractNumId w:val="7"/>
  </w:num>
  <w:num w:numId="11">
    <w:abstractNumId w:val="2"/>
  </w:num>
  <w:num w:numId="12">
    <w:abstractNumId w:val="9"/>
  </w:num>
  <w:num w:numId="13">
    <w:abstractNumId w:val="5"/>
  </w:num>
  <w:num w:numId="14">
    <w:abstractNumId w:val="4"/>
  </w:num>
  <w:num w:numId="15">
    <w:abstractNumId w:val="4"/>
  </w:num>
  <w:num w:numId="16">
    <w:abstractNumId w:val="8"/>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437"/>
    <w:rsid w:val="000005E2"/>
    <w:rsid w:val="000008EE"/>
    <w:rsid w:val="00001658"/>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51480"/>
    <w:rsid w:val="000524DC"/>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4F63"/>
    <w:rsid w:val="0009522B"/>
    <w:rsid w:val="00095F0F"/>
    <w:rsid w:val="0009601F"/>
    <w:rsid w:val="000976B9"/>
    <w:rsid w:val="000A278D"/>
    <w:rsid w:val="000A27C2"/>
    <w:rsid w:val="000A2BA7"/>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D0EC3"/>
    <w:rsid w:val="000D522D"/>
    <w:rsid w:val="000D55E4"/>
    <w:rsid w:val="000E04AD"/>
    <w:rsid w:val="000E0D3D"/>
    <w:rsid w:val="000E1E98"/>
    <w:rsid w:val="000E20E6"/>
    <w:rsid w:val="000E2CC9"/>
    <w:rsid w:val="000E365F"/>
    <w:rsid w:val="000E3827"/>
    <w:rsid w:val="000E4177"/>
    <w:rsid w:val="000E4825"/>
    <w:rsid w:val="000E74FA"/>
    <w:rsid w:val="000E7EB9"/>
    <w:rsid w:val="000F205B"/>
    <w:rsid w:val="000F5DBC"/>
    <w:rsid w:val="000F5F08"/>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7748"/>
    <w:rsid w:val="001703CE"/>
    <w:rsid w:val="00172D69"/>
    <w:rsid w:val="001738F7"/>
    <w:rsid w:val="00174592"/>
    <w:rsid w:val="00174B53"/>
    <w:rsid w:val="00175378"/>
    <w:rsid w:val="001765ED"/>
    <w:rsid w:val="001840E7"/>
    <w:rsid w:val="00191F2E"/>
    <w:rsid w:val="00196C84"/>
    <w:rsid w:val="00197103"/>
    <w:rsid w:val="001A5BB9"/>
    <w:rsid w:val="001B067F"/>
    <w:rsid w:val="001B119A"/>
    <w:rsid w:val="001B11CE"/>
    <w:rsid w:val="001B1B31"/>
    <w:rsid w:val="001B1E8D"/>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3786C"/>
    <w:rsid w:val="00240B90"/>
    <w:rsid w:val="00241F3D"/>
    <w:rsid w:val="00246862"/>
    <w:rsid w:val="0024779D"/>
    <w:rsid w:val="00247C24"/>
    <w:rsid w:val="002536C0"/>
    <w:rsid w:val="002605C2"/>
    <w:rsid w:val="002617BE"/>
    <w:rsid w:val="00263A3C"/>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6AC2"/>
    <w:rsid w:val="00320862"/>
    <w:rsid w:val="00322277"/>
    <w:rsid w:val="003237E5"/>
    <w:rsid w:val="00326FA1"/>
    <w:rsid w:val="003272A9"/>
    <w:rsid w:val="003275D6"/>
    <w:rsid w:val="00327BE0"/>
    <w:rsid w:val="00331695"/>
    <w:rsid w:val="00332F17"/>
    <w:rsid w:val="003338AC"/>
    <w:rsid w:val="00334F9D"/>
    <w:rsid w:val="00335414"/>
    <w:rsid w:val="00340243"/>
    <w:rsid w:val="00341D1D"/>
    <w:rsid w:val="0034384F"/>
    <w:rsid w:val="00344CE6"/>
    <w:rsid w:val="00345BAD"/>
    <w:rsid w:val="00346627"/>
    <w:rsid w:val="00346DDB"/>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5C41"/>
    <w:rsid w:val="00366C51"/>
    <w:rsid w:val="00367447"/>
    <w:rsid w:val="0036785D"/>
    <w:rsid w:val="003701EA"/>
    <w:rsid w:val="00371708"/>
    <w:rsid w:val="003744D3"/>
    <w:rsid w:val="00375673"/>
    <w:rsid w:val="00381EAA"/>
    <w:rsid w:val="003822FE"/>
    <w:rsid w:val="00384363"/>
    <w:rsid w:val="00384846"/>
    <w:rsid w:val="00384AA2"/>
    <w:rsid w:val="0038535F"/>
    <w:rsid w:val="00385ABA"/>
    <w:rsid w:val="00386340"/>
    <w:rsid w:val="0039028B"/>
    <w:rsid w:val="00390927"/>
    <w:rsid w:val="00391233"/>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06AA"/>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6106E"/>
    <w:rsid w:val="00464293"/>
    <w:rsid w:val="0047138B"/>
    <w:rsid w:val="00472057"/>
    <w:rsid w:val="004728E0"/>
    <w:rsid w:val="00472A7C"/>
    <w:rsid w:val="0047304A"/>
    <w:rsid w:val="004779A9"/>
    <w:rsid w:val="00483960"/>
    <w:rsid w:val="0048556C"/>
    <w:rsid w:val="00487050"/>
    <w:rsid w:val="0049005A"/>
    <w:rsid w:val="0049039E"/>
    <w:rsid w:val="00490D0F"/>
    <w:rsid w:val="00491F89"/>
    <w:rsid w:val="0049237A"/>
    <w:rsid w:val="00492F49"/>
    <w:rsid w:val="00494147"/>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3B5B"/>
    <w:rsid w:val="004E3F23"/>
    <w:rsid w:val="004E5799"/>
    <w:rsid w:val="004E5A2B"/>
    <w:rsid w:val="004E6C7B"/>
    <w:rsid w:val="004E7A16"/>
    <w:rsid w:val="004F17B0"/>
    <w:rsid w:val="004F1D27"/>
    <w:rsid w:val="004F2062"/>
    <w:rsid w:val="004F2B68"/>
    <w:rsid w:val="004F366D"/>
    <w:rsid w:val="004F4EB5"/>
    <w:rsid w:val="004F56DC"/>
    <w:rsid w:val="004F5E4F"/>
    <w:rsid w:val="004F67AD"/>
    <w:rsid w:val="004F7321"/>
    <w:rsid w:val="00500401"/>
    <w:rsid w:val="005062D1"/>
    <w:rsid w:val="0050691F"/>
    <w:rsid w:val="00507D6E"/>
    <w:rsid w:val="005104CE"/>
    <w:rsid w:val="005107FB"/>
    <w:rsid w:val="005112CB"/>
    <w:rsid w:val="00514C01"/>
    <w:rsid w:val="00522F24"/>
    <w:rsid w:val="00524B1A"/>
    <w:rsid w:val="00524D14"/>
    <w:rsid w:val="0052533B"/>
    <w:rsid w:val="005268D2"/>
    <w:rsid w:val="005271E8"/>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2BAC"/>
    <w:rsid w:val="005856EA"/>
    <w:rsid w:val="005858F6"/>
    <w:rsid w:val="005871F1"/>
    <w:rsid w:val="0058758E"/>
    <w:rsid w:val="00590393"/>
    <w:rsid w:val="00591FD5"/>
    <w:rsid w:val="0059697C"/>
    <w:rsid w:val="005A5114"/>
    <w:rsid w:val="005A638B"/>
    <w:rsid w:val="005A6606"/>
    <w:rsid w:val="005B2C19"/>
    <w:rsid w:val="005B4FE3"/>
    <w:rsid w:val="005B7CEE"/>
    <w:rsid w:val="005C0801"/>
    <w:rsid w:val="005C3150"/>
    <w:rsid w:val="005C33DB"/>
    <w:rsid w:val="005C38FE"/>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1131F"/>
    <w:rsid w:val="00612806"/>
    <w:rsid w:val="00612C97"/>
    <w:rsid w:val="00614F89"/>
    <w:rsid w:val="00615C15"/>
    <w:rsid w:val="006162A5"/>
    <w:rsid w:val="00616562"/>
    <w:rsid w:val="00617B07"/>
    <w:rsid w:val="0062244A"/>
    <w:rsid w:val="00625FE7"/>
    <w:rsid w:val="00632AD6"/>
    <w:rsid w:val="006336DF"/>
    <w:rsid w:val="006342DC"/>
    <w:rsid w:val="00640253"/>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3593"/>
    <w:rsid w:val="006963DB"/>
    <w:rsid w:val="006A1B78"/>
    <w:rsid w:val="006A1E6F"/>
    <w:rsid w:val="006A3F12"/>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2386"/>
    <w:rsid w:val="00753FAA"/>
    <w:rsid w:val="00754A45"/>
    <w:rsid w:val="00756647"/>
    <w:rsid w:val="00761AAD"/>
    <w:rsid w:val="00764562"/>
    <w:rsid w:val="007655DD"/>
    <w:rsid w:val="007659FC"/>
    <w:rsid w:val="00765B5E"/>
    <w:rsid w:val="0076759E"/>
    <w:rsid w:val="00767605"/>
    <w:rsid w:val="00770EDE"/>
    <w:rsid w:val="00771F12"/>
    <w:rsid w:val="0077319D"/>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70B9"/>
    <w:rsid w:val="0080186A"/>
    <w:rsid w:val="00804114"/>
    <w:rsid w:val="0080487D"/>
    <w:rsid w:val="00806176"/>
    <w:rsid w:val="008072F4"/>
    <w:rsid w:val="00811DFB"/>
    <w:rsid w:val="008128B6"/>
    <w:rsid w:val="0081418F"/>
    <w:rsid w:val="00814877"/>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249D"/>
    <w:rsid w:val="00836933"/>
    <w:rsid w:val="00840866"/>
    <w:rsid w:val="0084223E"/>
    <w:rsid w:val="00842855"/>
    <w:rsid w:val="0084589B"/>
    <w:rsid w:val="00846E3F"/>
    <w:rsid w:val="0084739B"/>
    <w:rsid w:val="008502FB"/>
    <w:rsid w:val="00852A78"/>
    <w:rsid w:val="00853632"/>
    <w:rsid w:val="0085384A"/>
    <w:rsid w:val="00853D7C"/>
    <w:rsid w:val="008570A6"/>
    <w:rsid w:val="008577A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D439D"/>
    <w:rsid w:val="008D4EFA"/>
    <w:rsid w:val="008E103C"/>
    <w:rsid w:val="008E112B"/>
    <w:rsid w:val="008E24DD"/>
    <w:rsid w:val="008E47B5"/>
    <w:rsid w:val="008E7010"/>
    <w:rsid w:val="008F20CC"/>
    <w:rsid w:val="008F30A5"/>
    <w:rsid w:val="008F41E4"/>
    <w:rsid w:val="008F52F9"/>
    <w:rsid w:val="008F5504"/>
    <w:rsid w:val="00900415"/>
    <w:rsid w:val="00900F02"/>
    <w:rsid w:val="00903311"/>
    <w:rsid w:val="0090538F"/>
    <w:rsid w:val="00905BEB"/>
    <w:rsid w:val="009123D5"/>
    <w:rsid w:val="0091355F"/>
    <w:rsid w:val="0091461D"/>
    <w:rsid w:val="009160C9"/>
    <w:rsid w:val="00917918"/>
    <w:rsid w:val="009200A0"/>
    <w:rsid w:val="0092024A"/>
    <w:rsid w:val="00921ED3"/>
    <w:rsid w:val="00921FC0"/>
    <w:rsid w:val="00924E81"/>
    <w:rsid w:val="00925073"/>
    <w:rsid w:val="00926924"/>
    <w:rsid w:val="009272C5"/>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0C12"/>
    <w:rsid w:val="00961684"/>
    <w:rsid w:val="00962805"/>
    <w:rsid w:val="00962A8B"/>
    <w:rsid w:val="00966531"/>
    <w:rsid w:val="009668C5"/>
    <w:rsid w:val="00967C7F"/>
    <w:rsid w:val="00971B67"/>
    <w:rsid w:val="00972BB9"/>
    <w:rsid w:val="00973D54"/>
    <w:rsid w:val="00976A16"/>
    <w:rsid w:val="009819A9"/>
    <w:rsid w:val="00982FA6"/>
    <w:rsid w:val="0098336C"/>
    <w:rsid w:val="00984704"/>
    <w:rsid w:val="00984757"/>
    <w:rsid w:val="009864CA"/>
    <w:rsid w:val="00986FF1"/>
    <w:rsid w:val="00990F1F"/>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40F0"/>
    <w:rsid w:val="009B5E97"/>
    <w:rsid w:val="009B615E"/>
    <w:rsid w:val="009B7029"/>
    <w:rsid w:val="009B7161"/>
    <w:rsid w:val="009B79ED"/>
    <w:rsid w:val="009C161C"/>
    <w:rsid w:val="009C193F"/>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263D0"/>
    <w:rsid w:val="00A3034C"/>
    <w:rsid w:val="00A30975"/>
    <w:rsid w:val="00A30F98"/>
    <w:rsid w:val="00A3408A"/>
    <w:rsid w:val="00A36BE8"/>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249"/>
    <w:rsid w:val="00AA247C"/>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39CE"/>
    <w:rsid w:val="00AE4093"/>
    <w:rsid w:val="00AE46D2"/>
    <w:rsid w:val="00AE776C"/>
    <w:rsid w:val="00AF1658"/>
    <w:rsid w:val="00AF3EAE"/>
    <w:rsid w:val="00AF7F9B"/>
    <w:rsid w:val="00B00B00"/>
    <w:rsid w:val="00B00BB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5E0B"/>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2E4F"/>
    <w:rsid w:val="00C13A52"/>
    <w:rsid w:val="00C13D0C"/>
    <w:rsid w:val="00C15E18"/>
    <w:rsid w:val="00C162BE"/>
    <w:rsid w:val="00C163B0"/>
    <w:rsid w:val="00C16AC2"/>
    <w:rsid w:val="00C1785C"/>
    <w:rsid w:val="00C20313"/>
    <w:rsid w:val="00C2060E"/>
    <w:rsid w:val="00C20810"/>
    <w:rsid w:val="00C2129E"/>
    <w:rsid w:val="00C21DAB"/>
    <w:rsid w:val="00C23BA4"/>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1DBB"/>
    <w:rsid w:val="00CC3301"/>
    <w:rsid w:val="00CC366E"/>
    <w:rsid w:val="00CC55B2"/>
    <w:rsid w:val="00CD0B54"/>
    <w:rsid w:val="00CD3C56"/>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348C"/>
    <w:rsid w:val="00E45064"/>
    <w:rsid w:val="00E52E0D"/>
    <w:rsid w:val="00E53201"/>
    <w:rsid w:val="00E53AC9"/>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4422"/>
    <w:rsid w:val="00EA614E"/>
    <w:rsid w:val="00EA68A4"/>
    <w:rsid w:val="00EA77C4"/>
    <w:rsid w:val="00EA798A"/>
    <w:rsid w:val="00EB024D"/>
    <w:rsid w:val="00EB031B"/>
    <w:rsid w:val="00EB25C8"/>
    <w:rsid w:val="00EB31DF"/>
    <w:rsid w:val="00EB4E8D"/>
    <w:rsid w:val="00EB527B"/>
    <w:rsid w:val="00EC4C05"/>
    <w:rsid w:val="00EC5C09"/>
    <w:rsid w:val="00EC65A5"/>
    <w:rsid w:val="00ED0D6C"/>
    <w:rsid w:val="00ED2EA2"/>
    <w:rsid w:val="00ED35C4"/>
    <w:rsid w:val="00ED76CD"/>
    <w:rsid w:val="00EE53F6"/>
    <w:rsid w:val="00EE56D3"/>
    <w:rsid w:val="00EE57A2"/>
    <w:rsid w:val="00EF2376"/>
    <w:rsid w:val="00EF5857"/>
    <w:rsid w:val="00EF6702"/>
    <w:rsid w:val="00EF6C2A"/>
    <w:rsid w:val="00F010A8"/>
    <w:rsid w:val="00F0373B"/>
    <w:rsid w:val="00F04FC6"/>
    <w:rsid w:val="00F06765"/>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608"/>
    <w:rsid w:val="00F45BC4"/>
    <w:rsid w:val="00F46718"/>
    <w:rsid w:val="00F50850"/>
    <w:rsid w:val="00F5186A"/>
    <w:rsid w:val="00F53ED9"/>
    <w:rsid w:val="00F56CED"/>
    <w:rsid w:val="00F62620"/>
    <w:rsid w:val="00F62797"/>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723A2"/>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C0737"/>
    <w:rsid w:val="00FC1206"/>
    <w:rsid w:val="00FC2864"/>
    <w:rsid w:val="00FC301D"/>
    <w:rsid w:val="00FC4BE5"/>
    <w:rsid w:val="00FC4E3B"/>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qFormat/>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qFormat/>
    <w:rsid w:val="001D5B37"/>
    <w:pPr>
      <w:spacing w:before="120" w:after="60" w:line="240" w:lineRule="auto"/>
      <w:ind w:left="284"/>
      <w:outlineLvl w:val="3"/>
    </w:pPr>
    <w:rPr>
      <w:rFonts w:ascii="Arial" w:hAnsi="Arial"/>
      <w:b/>
      <w:noProof/>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rsid w:val="002302F9"/>
    <w:pPr>
      <w:numPr>
        <w:numId w:val="8"/>
      </w:numPr>
      <w:spacing w:line="240" w:lineRule="auto"/>
      <w:jc w:val="left"/>
    </w:pPr>
  </w:style>
  <w:style w:type="paragraph" w:customStyle="1" w:styleId="Sub-paragraph">
    <w:name w:val="Sub-paragraph"/>
    <w:basedOn w:val="Normal"/>
    <w:link w:val="Sub-paragraphChar"/>
    <w:qFormat/>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qFormat/>
    <w:rsid w:val="001738F7"/>
    <w:pPr>
      <w:numPr>
        <w:ilvl w:val="4"/>
      </w:numPr>
      <w:outlineLvl w:val="6"/>
    </w:pPr>
    <w:rPr>
      <w:noProof w:val="0"/>
    </w:rPr>
  </w:style>
  <w:style w:type="paragraph" w:customStyle="1" w:styleId="Sub-sub-sub-paragraph">
    <w:name w:val="Sub-sub-sub-paragraph"/>
    <w:basedOn w:val="Sub-sub-paragraph"/>
    <w:qFormat/>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Background">
    <w:name w:val="Background"/>
    <w:basedOn w:val="Normal"/>
    <w:link w:val="BackgroundChar"/>
    <w:rsid w:val="005F7BB5"/>
    <w:pPr>
      <w:spacing w:before="60" w:after="120"/>
      <w:ind w:left="1134"/>
    </w:pPr>
    <w:rPr>
      <w:color w:val="800000"/>
    </w:rPr>
  </w:style>
  <w:style w:type="character" w:customStyle="1" w:styleId="BackgroundChar">
    <w:name w:val="Background Char"/>
    <w:link w:val="Background"/>
    <w:rsid w:val="005F7BB5"/>
    <w:rPr>
      <w:rFonts w:ascii="Arial" w:hAnsi="Arial"/>
      <w:color w:val="800000"/>
      <w:sz w:val="18"/>
      <w:lang w:eastAsia="en-US"/>
    </w:rPr>
  </w:style>
  <w:style w:type="paragraph" w:customStyle="1" w:styleId="Explanation">
    <w:name w:val="Explanation"/>
    <w:basedOn w:val="Background"/>
    <w:link w:val="ExplanationChar"/>
    <w:rsid w:val="00227FA4"/>
    <w:pPr>
      <w:spacing w:after="60"/>
      <w:ind w:left="2835"/>
    </w:pPr>
    <w:rPr>
      <w:i/>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227FA4"/>
    <w:pPr>
      <w:jc w:val="left"/>
    </w:p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customStyle="1" w:styleId="AttchTableText">
    <w:name w:val="Attch Table Text"/>
    <w:basedOn w:val="Normal"/>
    <w:rsid w:val="00227FA4"/>
    <w:pPr>
      <w:spacing w:after="0"/>
    </w:pPr>
    <w:rPr>
      <w:sz w:val="16"/>
    </w:rPr>
  </w:style>
  <w:style w:type="paragraph" w:customStyle="1" w:styleId="AttchTableTextBold">
    <w:name w:val="Attch Table Text Bold"/>
    <w:basedOn w:val="AttchTableText"/>
    <w:rsid w:val="00227FA4"/>
    <w:rPr>
      <w:b/>
    </w:rPr>
  </w:style>
  <w:style w:type="paragraph" w:customStyle="1" w:styleId="AttchTableTextBulleted">
    <w:name w:val="Attch Table Text Bulleted"/>
    <w:basedOn w:val="AttchTableText"/>
    <w:rsid w:val="00227FA4"/>
    <w:pPr>
      <w:numPr>
        <w:numId w:val="4"/>
      </w:numPr>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autoRedefine/>
    <w:uiPriority w:val="39"/>
    <w:rsid w:val="00391233"/>
    <w:pPr>
      <w:tabs>
        <w:tab w:val="left" w:pos="1276"/>
        <w:tab w:val="right" w:pos="9627"/>
      </w:tabs>
      <w:spacing w:after="0"/>
      <w:ind w:left="426"/>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227FA4"/>
    <w:pPr>
      <w:spacing w:after="0"/>
      <w:ind w:left="284"/>
      <w:jc w:val="left"/>
    </w:pPr>
    <w:rPr>
      <w:color w:val="FF0000"/>
    </w:rPr>
  </w:style>
  <w:style w:type="character" w:customStyle="1" w:styleId="BodyTextIndentChar">
    <w:name w:val="Body Text Indent Char"/>
    <w:link w:val="BodyTextIndent"/>
    <w:semiHidden/>
    <w:rsid w:val="00227FA4"/>
    <w:rPr>
      <w:color w:val="FF0000"/>
      <w:sz w:val="18"/>
      <w:lang w:val="en-AU" w:eastAsia="en-US" w:bidi="ar-SA"/>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uiPriority w:val="59"/>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34"/>
    <w:qFormat/>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0">
    <w:name w:val="Style 1"/>
    <w:basedOn w:val="Normal"/>
    <w:uiPriority w:val="99"/>
    <w:rsid w:val="0061131F"/>
    <w:pPr>
      <w:widowControl w:val="0"/>
      <w:autoSpaceDE w:val="0"/>
      <w:autoSpaceDN w:val="0"/>
      <w:spacing w:after="0" w:line="240" w:lineRule="exact"/>
      <w:ind w:left="720" w:hanging="360"/>
      <w:jc w:val="left"/>
    </w:pPr>
    <w:rPr>
      <w:sz w:val="24"/>
      <w:szCs w:val="24"/>
      <w:lang w:val="en-US"/>
    </w:rPr>
  </w:style>
  <w:style w:type="character" w:customStyle="1" w:styleId="apple-converted-space">
    <w:name w:val="apple-converted-space"/>
    <w:basedOn w:val="DefaultParagraphFont"/>
    <w:rsid w:val="00B7347F"/>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styleId="BodyText2">
    <w:name w:val="Body Text 2"/>
    <w:basedOn w:val="Normal"/>
    <w:link w:val="BodyText2Char"/>
    <w:rsid w:val="00DE658A"/>
    <w:pPr>
      <w:spacing w:after="120" w:line="480" w:lineRule="auto"/>
    </w:pPr>
  </w:style>
  <w:style w:type="paragraph" w:customStyle="1" w:styleId="StyleHeading4">
    <w:name w:val="Style Heading 4"/>
    <w:basedOn w:val="Heading4"/>
    <w:rsid w:val="00A03277"/>
    <w:pPr>
      <w:jc w:val="left"/>
    </w:pPr>
  </w:style>
  <w:style w:type="character" w:customStyle="1" w:styleId="BodyText2Char">
    <w:name w:val="Body Text 2 Char"/>
    <w:link w:val="BodyText2"/>
    <w:rsid w:val="00DE658A"/>
    <w:rPr>
      <w:lang w:eastAsia="en-US"/>
    </w:r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qFormat/>
    <w:rsid w:val="00CB573A"/>
    <w:pPr>
      <w:numPr>
        <w:numId w:val="9"/>
      </w:numPr>
      <w:tabs>
        <w:tab w:val="clear" w:pos="1152"/>
        <w:tab w:val="num" w:pos="1560"/>
      </w:tabs>
      <w:spacing w:before="120" w:after="0"/>
      <w:ind w:left="1560" w:hanging="42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ti.sa.gov.au/contractor_documents/wh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4BC0-1E43-4B02-A7C8-8547EF1C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47</TotalTime>
  <Pages>4</Pages>
  <Words>1465</Words>
  <Characters>8095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Dept of Commerce</Company>
  <LinksUpToDate>false</LinksUpToDate>
  <CharactersWithSpaces>9541</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Paterson, Andrew (DPTI)</cp:lastModifiedBy>
  <cp:revision>35</cp:revision>
  <cp:lastPrinted>2017-07-11T05:20:00Z</cp:lastPrinted>
  <dcterms:created xsi:type="dcterms:W3CDTF">2017-07-11T05:16:00Z</dcterms:created>
  <dcterms:modified xsi:type="dcterms:W3CDTF">2017-10-24T02:58:00Z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