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43E21" w14:textId="1D1103A4" w:rsidR="00213A2C" w:rsidRPr="00B927A4" w:rsidRDefault="00213A2C" w:rsidP="00A755B6">
      <w:pPr>
        <w:ind w:left="426"/>
        <w:jc w:val="center"/>
        <w:rPr>
          <w:b/>
          <w:u w:val="single"/>
        </w:rPr>
      </w:pPr>
      <w:r w:rsidRPr="00B927A4">
        <w:rPr>
          <w:b/>
          <w:u w:val="single"/>
        </w:rPr>
        <w:t>PART CH10</w:t>
      </w:r>
      <w:r w:rsidR="00C915B1">
        <w:rPr>
          <w:b/>
          <w:u w:val="single"/>
        </w:rPr>
        <w:br/>
      </w:r>
      <w:r w:rsidR="00C915B1">
        <w:rPr>
          <w:b/>
          <w:u w:val="single"/>
        </w:rPr>
        <w:br/>
      </w:r>
      <w:r w:rsidRPr="00B927A4">
        <w:rPr>
          <w:b/>
          <w:u w:val="single"/>
        </w:rPr>
        <w:t>CONSTRUCTION - GENERAL PROVISIONS</w:t>
      </w:r>
    </w:p>
    <w:p w14:paraId="0E803FC1" w14:textId="77777777" w:rsidR="00213A2C" w:rsidRPr="00B927A4" w:rsidRDefault="00213A2C" w:rsidP="00213A2C">
      <w:pPr>
        <w:jc w:val="left"/>
      </w:pPr>
    </w:p>
    <w:p w14:paraId="691A8E0D" w14:textId="77777777" w:rsidR="00213A2C" w:rsidRPr="00B927A4" w:rsidRDefault="00213A2C" w:rsidP="00213A2C">
      <w:pPr>
        <w:jc w:val="left"/>
        <w:rPr>
          <w:b/>
          <w:bCs/>
          <w:u w:val="single"/>
        </w:rPr>
      </w:pPr>
      <w:r w:rsidRPr="00B927A4">
        <w:rPr>
          <w:b/>
          <w:bCs/>
          <w:u w:val="single"/>
        </w:rPr>
        <w:t>CONTENTS</w:t>
      </w:r>
    </w:p>
    <w:p w14:paraId="3AC878BE" w14:textId="77777777" w:rsidR="00213A2C" w:rsidRPr="00A755B6" w:rsidRDefault="00213A2C" w:rsidP="00213A2C">
      <w:pPr>
        <w:jc w:val="left"/>
      </w:pPr>
    </w:p>
    <w:p w14:paraId="32CAC626" w14:textId="77777777" w:rsidR="00A755B6" w:rsidRPr="00A755B6" w:rsidRDefault="00A755B6" w:rsidP="00A755B6">
      <w:pPr>
        <w:pStyle w:val="TOC3"/>
        <w:tabs>
          <w:tab w:val="left" w:pos="1844"/>
          <w:tab w:val="right" w:pos="9345"/>
        </w:tabs>
        <w:ind w:hanging="1048"/>
        <w:rPr>
          <w:rFonts w:eastAsiaTheme="minorEastAsia"/>
          <w:noProof/>
          <w:sz w:val="22"/>
          <w:szCs w:val="22"/>
        </w:rPr>
      </w:pPr>
      <w:r w:rsidRPr="00A755B6">
        <w:fldChar w:fldCharType="begin"/>
      </w:r>
      <w:r w:rsidRPr="00A755B6">
        <w:instrText xml:space="preserve"> TOC \o "3-3" \n \h \z \t "Title,1,Style Heading 2,2,Style Heading 1 Restart Numbering + Arial 9 pt Bold Underline,1" </w:instrText>
      </w:r>
      <w:r w:rsidRPr="00A755B6">
        <w:fldChar w:fldCharType="separate"/>
      </w:r>
      <w:hyperlink w:anchor="_Toc487788063" w:history="1">
        <w:r w:rsidRPr="00A755B6">
          <w:rPr>
            <w:rStyle w:val="Hyperlink"/>
            <w:noProof/>
          </w:rPr>
          <w:t>1.</w:t>
        </w:r>
        <w:r w:rsidRPr="00A755B6">
          <w:rPr>
            <w:rFonts w:eastAsiaTheme="minorEastAsia"/>
            <w:noProof/>
            <w:sz w:val="22"/>
            <w:szCs w:val="22"/>
          </w:rPr>
          <w:tab/>
        </w:r>
        <w:r w:rsidRPr="00A755B6">
          <w:rPr>
            <w:rStyle w:val="Hyperlink"/>
            <w:noProof/>
          </w:rPr>
          <w:t>GENERAL</w:t>
        </w:r>
      </w:hyperlink>
    </w:p>
    <w:p w14:paraId="28207693"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64" w:history="1">
        <w:r w:rsidR="00A755B6" w:rsidRPr="00A755B6">
          <w:rPr>
            <w:rStyle w:val="Hyperlink"/>
            <w:noProof/>
          </w:rPr>
          <w:t>2.</w:t>
        </w:r>
        <w:r w:rsidR="00A755B6" w:rsidRPr="00A755B6">
          <w:rPr>
            <w:rFonts w:eastAsiaTheme="minorEastAsia"/>
            <w:noProof/>
            <w:sz w:val="22"/>
            <w:szCs w:val="22"/>
          </w:rPr>
          <w:tab/>
        </w:r>
        <w:r w:rsidR="00A755B6" w:rsidRPr="00A755B6">
          <w:rPr>
            <w:rStyle w:val="Hyperlink"/>
            <w:noProof/>
          </w:rPr>
          <w:t>WORKING DAYS AND HOURS OF WORK</w:t>
        </w:r>
      </w:hyperlink>
    </w:p>
    <w:p w14:paraId="0071A5EB"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65" w:history="1">
        <w:r w:rsidR="00A755B6" w:rsidRPr="00A755B6">
          <w:rPr>
            <w:rStyle w:val="Hyperlink"/>
            <w:noProof/>
          </w:rPr>
          <w:t>3.</w:t>
        </w:r>
        <w:r w:rsidR="00A755B6" w:rsidRPr="00A755B6">
          <w:rPr>
            <w:rFonts w:eastAsiaTheme="minorEastAsia"/>
            <w:noProof/>
            <w:sz w:val="22"/>
            <w:szCs w:val="22"/>
          </w:rPr>
          <w:tab/>
        </w:r>
        <w:r w:rsidR="00A755B6" w:rsidRPr="00A755B6">
          <w:rPr>
            <w:rStyle w:val="Hyperlink"/>
            <w:noProof/>
          </w:rPr>
          <w:t>PREQUALIFICATION AND CERTIFICATION / ACCREDITATION</w:t>
        </w:r>
      </w:hyperlink>
    </w:p>
    <w:p w14:paraId="22F6EAE9"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66" w:history="1">
        <w:r w:rsidR="00A755B6" w:rsidRPr="00A755B6">
          <w:rPr>
            <w:rStyle w:val="Hyperlink"/>
            <w:noProof/>
          </w:rPr>
          <w:t>4.</w:t>
        </w:r>
        <w:r w:rsidR="00A755B6" w:rsidRPr="00A755B6">
          <w:rPr>
            <w:rFonts w:eastAsiaTheme="minorEastAsia"/>
            <w:noProof/>
            <w:sz w:val="22"/>
            <w:szCs w:val="22"/>
          </w:rPr>
          <w:tab/>
        </w:r>
        <w:r w:rsidR="00A755B6" w:rsidRPr="00A755B6">
          <w:rPr>
            <w:rStyle w:val="Hyperlink"/>
            <w:noProof/>
          </w:rPr>
          <w:t>RECORDING OF ACTIVITIES</w:t>
        </w:r>
      </w:hyperlink>
    </w:p>
    <w:p w14:paraId="759EAB82"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67" w:history="1">
        <w:r w:rsidR="00A755B6" w:rsidRPr="00A755B6">
          <w:rPr>
            <w:rStyle w:val="Hyperlink"/>
            <w:bCs/>
            <w:noProof/>
          </w:rPr>
          <w:t>5.</w:t>
        </w:r>
        <w:r w:rsidR="00A755B6" w:rsidRPr="00A755B6">
          <w:rPr>
            <w:rFonts w:eastAsiaTheme="minorEastAsia"/>
            <w:noProof/>
            <w:sz w:val="22"/>
            <w:szCs w:val="22"/>
          </w:rPr>
          <w:tab/>
        </w:r>
        <w:r w:rsidR="00A755B6" w:rsidRPr="00A755B6">
          <w:rPr>
            <w:rStyle w:val="Hyperlink"/>
            <w:noProof/>
          </w:rPr>
          <w:t>CONTRACTOR'S COMPOUND AND PRINCIPAL'S REQUIREMENTS</w:t>
        </w:r>
      </w:hyperlink>
    </w:p>
    <w:p w14:paraId="63268EC7"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68" w:history="1">
        <w:r w:rsidR="00A755B6" w:rsidRPr="00A755B6">
          <w:rPr>
            <w:rStyle w:val="Hyperlink"/>
            <w:noProof/>
          </w:rPr>
          <w:t>6.</w:t>
        </w:r>
        <w:r w:rsidR="00A755B6" w:rsidRPr="00A755B6">
          <w:rPr>
            <w:rFonts w:eastAsiaTheme="minorEastAsia"/>
            <w:noProof/>
            <w:sz w:val="22"/>
            <w:szCs w:val="22"/>
          </w:rPr>
          <w:tab/>
        </w:r>
        <w:r w:rsidR="00A755B6" w:rsidRPr="00A755B6">
          <w:rPr>
            <w:rStyle w:val="Hyperlink"/>
            <w:noProof/>
          </w:rPr>
          <w:t>PROPRIETARY PRODUCTS</w:t>
        </w:r>
      </w:hyperlink>
    </w:p>
    <w:p w14:paraId="594043C7"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69" w:history="1">
        <w:r w:rsidR="00A755B6" w:rsidRPr="00A755B6">
          <w:rPr>
            <w:rStyle w:val="Hyperlink"/>
            <w:noProof/>
          </w:rPr>
          <w:t>7.</w:t>
        </w:r>
        <w:r w:rsidR="00A755B6" w:rsidRPr="00A755B6">
          <w:rPr>
            <w:rFonts w:eastAsiaTheme="minorEastAsia"/>
            <w:noProof/>
            <w:sz w:val="22"/>
            <w:szCs w:val="22"/>
          </w:rPr>
          <w:tab/>
        </w:r>
        <w:r w:rsidR="00A755B6" w:rsidRPr="00A755B6">
          <w:rPr>
            <w:rStyle w:val="Hyperlink"/>
            <w:noProof/>
          </w:rPr>
          <w:t>FLOODS AND WATERWAYS</w:t>
        </w:r>
      </w:hyperlink>
    </w:p>
    <w:p w14:paraId="1175212E"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70" w:history="1">
        <w:r w:rsidR="00A755B6" w:rsidRPr="00A755B6">
          <w:rPr>
            <w:rStyle w:val="Hyperlink"/>
            <w:noProof/>
          </w:rPr>
          <w:t>8.</w:t>
        </w:r>
        <w:r w:rsidR="00A755B6" w:rsidRPr="00A755B6">
          <w:rPr>
            <w:rFonts w:eastAsiaTheme="minorEastAsia"/>
            <w:noProof/>
            <w:sz w:val="22"/>
            <w:szCs w:val="22"/>
          </w:rPr>
          <w:tab/>
        </w:r>
        <w:r w:rsidR="00A755B6" w:rsidRPr="00A755B6">
          <w:rPr>
            <w:rStyle w:val="Hyperlink"/>
            <w:noProof/>
          </w:rPr>
          <w:t>PROTECTION OF THE WORKS AND REINSTATEMENT OF DAMAGE</w:t>
        </w:r>
      </w:hyperlink>
    </w:p>
    <w:p w14:paraId="5586AD2A" w14:textId="77777777" w:rsidR="00A755B6" w:rsidRPr="00A755B6" w:rsidRDefault="00726CFA" w:rsidP="00A755B6">
      <w:pPr>
        <w:pStyle w:val="TOC3"/>
        <w:tabs>
          <w:tab w:val="left" w:pos="1844"/>
          <w:tab w:val="right" w:pos="9345"/>
        </w:tabs>
        <w:ind w:hanging="1048"/>
        <w:rPr>
          <w:rFonts w:eastAsiaTheme="minorEastAsia"/>
          <w:noProof/>
          <w:sz w:val="22"/>
          <w:szCs w:val="22"/>
        </w:rPr>
      </w:pPr>
      <w:hyperlink w:anchor="_Toc487788071" w:history="1">
        <w:r w:rsidR="00A755B6" w:rsidRPr="00A755B6">
          <w:rPr>
            <w:rStyle w:val="Hyperlink"/>
            <w:bCs/>
            <w:noProof/>
          </w:rPr>
          <w:t>9.</w:t>
        </w:r>
        <w:r w:rsidR="00A755B6" w:rsidRPr="00A755B6">
          <w:rPr>
            <w:rFonts w:eastAsiaTheme="minorEastAsia"/>
            <w:noProof/>
            <w:sz w:val="22"/>
            <w:szCs w:val="22"/>
          </w:rPr>
          <w:tab/>
        </w:r>
        <w:r w:rsidR="00A755B6" w:rsidRPr="00A755B6">
          <w:rPr>
            <w:rStyle w:val="Hyperlink"/>
            <w:noProof/>
          </w:rPr>
          <w:t>FIRE PREVENTION</w:t>
        </w:r>
      </w:hyperlink>
    </w:p>
    <w:p w14:paraId="2AADFABA"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2" w:history="1">
        <w:r w:rsidR="00A755B6" w:rsidRPr="00A755B6">
          <w:rPr>
            <w:rStyle w:val="Hyperlink"/>
            <w:bCs/>
            <w:noProof/>
          </w:rPr>
          <w:t>10.</w:t>
        </w:r>
        <w:r w:rsidR="00A755B6" w:rsidRPr="00A755B6">
          <w:rPr>
            <w:rFonts w:eastAsiaTheme="minorEastAsia"/>
            <w:noProof/>
            <w:sz w:val="22"/>
            <w:szCs w:val="22"/>
          </w:rPr>
          <w:tab/>
        </w:r>
        <w:r w:rsidR="00A755B6" w:rsidRPr="00A755B6">
          <w:rPr>
            <w:rStyle w:val="Hyperlink"/>
            <w:noProof/>
          </w:rPr>
          <w:t>EXPLOSIVES</w:t>
        </w:r>
      </w:hyperlink>
    </w:p>
    <w:p w14:paraId="6F787C92"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3" w:history="1">
        <w:r w:rsidR="00A755B6" w:rsidRPr="00A755B6">
          <w:rPr>
            <w:rStyle w:val="Hyperlink"/>
            <w:noProof/>
          </w:rPr>
          <w:t>11.</w:t>
        </w:r>
        <w:r w:rsidR="00A755B6" w:rsidRPr="00A755B6">
          <w:rPr>
            <w:rFonts w:eastAsiaTheme="minorEastAsia"/>
            <w:noProof/>
            <w:sz w:val="22"/>
            <w:szCs w:val="22"/>
          </w:rPr>
          <w:tab/>
        </w:r>
        <w:r w:rsidR="00A755B6" w:rsidRPr="00A755B6">
          <w:rPr>
            <w:rStyle w:val="Hyperlink"/>
            <w:noProof/>
          </w:rPr>
          <w:t>VIBRATING COMPACTION EQUIPMENT</w:t>
        </w:r>
      </w:hyperlink>
    </w:p>
    <w:p w14:paraId="7C4FE66B"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4" w:history="1">
        <w:r w:rsidR="00A755B6" w:rsidRPr="00A755B6">
          <w:rPr>
            <w:rStyle w:val="Hyperlink"/>
            <w:bCs/>
            <w:noProof/>
          </w:rPr>
          <w:t>12.</w:t>
        </w:r>
        <w:r w:rsidR="00A755B6" w:rsidRPr="00A755B6">
          <w:rPr>
            <w:rFonts w:eastAsiaTheme="minorEastAsia"/>
            <w:noProof/>
            <w:sz w:val="22"/>
            <w:szCs w:val="22"/>
          </w:rPr>
          <w:tab/>
        </w:r>
        <w:r w:rsidR="00A755B6" w:rsidRPr="00A755B6">
          <w:rPr>
            <w:rStyle w:val="Hyperlink"/>
            <w:noProof/>
          </w:rPr>
          <w:t>CONTROL OF FENCES AND GATES</w:t>
        </w:r>
      </w:hyperlink>
    </w:p>
    <w:p w14:paraId="2047A0F7"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5" w:history="1">
        <w:r w:rsidR="00A755B6" w:rsidRPr="00A755B6">
          <w:rPr>
            <w:rStyle w:val="Hyperlink"/>
            <w:noProof/>
          </w:rPr>
          <w:t>13.</w:t>
        </w:r>
        <w:r w:rsidR="00A755B6" w:rsidRPr="00A755B6">
          <w:rPr>
            <w:rFonts w:eastAsiaTheme="minorEastAsia"/>
            <w:noProof/>
            <w:sz w:val="22"/>
            <w:szCs w:val="22"/>
          </w:rPr>
          <w:tab/>
        </w:r>
        <w:r w:rsidR="00A755B6" w:rsidRPr="00A755B6">
          <w:rPr>
            <w:rStyle w:val="Hyperlink"/>
            <w:noProof/>
          </w:rPr>
          <w:t>CLEARANCES FROM LANDHOLDERS</w:t>
        </w:r>
      </w:hyperlink>
    </w:p>
    <w:p w14:paraId="76F6F493"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6" w:history="1">
        <w:r w:rsidR="00A755B6" w:rsidRPr="00A755B6">
          <w:rPr>
            <w:rStyle w:val="Hyperlink"/>
            <w:noProof/>
          </w:rPr>
          <w:t>14.</w:t>
        </w:r>
        <w:r w:rsidR="00A755B6" w:rsidRPr="00A755B6">
          <w:rPr>
            <w:rFonts w:eastAsiaTheme="minorEastAsia"/>
            <w:noProof/>
            <w:sz w:val="22"/>
            <w:szCs w:val="22"/>
          </w:rPr>
          <w:tab/>
        </w:r>
        <w:r w:rsidR="00A755B6" w:rsidRPr="00A755B6">
          <w:rPr>
            <w:rStyle w:val="Hyperlink"/>
            <w:noProof/>
          </w:rPr>
          <w:t>MATERIALS</w:t>
        </w:r>
      </w:hyperlink>
    </w:p>
    <w:p w14:paraId="7B11AB3A"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7" w:history="1">
        <w:r w:rsidR="00A755B6" w:rsidRPr="00A755B6">
          <w:rPr>
            <w:rStyle w:val="Hyperlink"/>
            <w:noProof/>
          </w:rPr>
          <w:t>15.</w:t>
        </w:r>
        <w:r w:rsidR="00A755B6" w:rsidRPr="00A755B6">
          <w:rPr>
            <w:rFonts w:eastAsiaTheme="minorEastAsia"/>
            <w:noProof/>
            <w:sz w:val="22"/>
            <w:szCs w:val="22"/>
          </w:rPr>
          <w:tab/>
        </w:r>
        <w:r w:rsidR="00A755B6" w:rsidRPr="00A755B6">
          <w:rPr>
            <w:rStyle w:val="Hyperlink"/>
            <w:noProof/>
          </w:rPr>
          <w:t>WEIGHING OF MATERIAL</w:t>
        </w:r>
      </w:hyperlink>
    </w:p>
    <w:p w14:paraId="6FE2CBC6"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8" w:history="1">
        <w:r w:rsidR="00A755B6" w:rsidRPr="00A755B6">
          <w:rPr>
            <w:rStyle w:val="Hyperlink"/>
            <w:noProof/>
          </w:rPr>
          <w:t>16.</w:t>
        </w:r>
        <w:r w:rsidR="00A755B6" w:rsidRPr="00A755B6">
          <w:rPr>
            <w:rFonts w:eastAsiaTheme="minorEastAsia"/>
            <w:noProof/>
            <w:sz w:val="22"/>
            <w:szCs w:val="22"/>
          </w:rPr>
          <w:tab/>
        </w:r>
        <w:r w:rsidR="00A755B6" w:rsidRPr="00A755B6">
          <w:rPr>
            <w:rStyle w:val="Hyperlink"/>
            <w:noProof/>
          </w:rPr>
          <w:t>HAULAGE OF MATERIALS</w:t>
        </w:r>
      </w:hyperlink>
    </w:p>
    <w:p w14:paraId="6AB066EF"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79" w:history="1">
        <w:r w:rsidR="00A755B6" w:rsidRPr="00A755B6">
          <w:rPr>
            <w:rStyle w:val="Hyperlink"/>
            <w:noProof/>
          </w:rPr>
          <w:t>17.</w:t>
        </w:r>
        <w:r w:rsidR="00A755B6" w:rsidRPr="00A755B6">
          <w:rPr>
            <w:rFonts w:eastAsiaTheme="minorEastAsia"/>
            <w:noProof/>
            <w:sz w:val="22"/>
            <w:szCs w:val="22"/>
          </w:rPr>
          <w:tab/>
        </w:r>
        <w:r w:rsidR="00A755B6" w:rsidRPr="00A755B6">
          <w:rPr>
            <w:rStyle w:val="Hyperlink"/>
            <w:noProof/>
          </w:rPr>
          <w:t>TESTING</w:t>
        </w:r>
      </w:hyperlink>
    </w:p>
    <w:p w14:paraId="0C69D058"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80" w:history="1">
        <w:r w:rsidR="00A755B6" w:rsidRPr="00A755B6">
          <w:rPr>
            <w:rStyle w:val="Hyperlink"/>
            <w:noProof/>
          </w:rPr>
          <w:t>18.</w:t>
        </w:r>
        <w:r w:rsidR="00A755B6" w:rsidRPr="00A755B6">
          <w:rPr>
            <w:rFonts w:eastAsiaTheme="minorEastAsia"/>
            <w:noProof/>
            <w:sz w:val="22"/>
            <w:szCs w:val="22"/>
          </w:rPr>
          <w:tab/>
        </w:r>
        <w:r w:rsidR="00A755B6" w:rsidRPr="00A755B6">
          <w:rPr>
            <w:rStyle w:val="Hyperlink"/>
            <w:noProof/>
          </w:rPr>
          <w:t>MAINTENANCE OF EXISTING TRAFFICKED PAVEMENT</w:t>
        </w:r>
      </w:hyperlink>
    </w:p>
    <w:p w14:paraId="526A7A90"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81" w:history="1">
        <w:r w:rsidR="00A755B6" w:rsidRPr="00A755B6">
          <w:rPr>
            <w:rStyle w:val="Hyperlink"/>
            <w:noProof/>
          </w:rPr>
          <w:t>19.</w:t>
        </w:r>
        <w:r w:rsidR="00A755B6" w:rsidRPr="00A755B6">
          <w:rPr>
            <w:rFonts w:eastAsiaTheme="minorEastAsia"/>
            <w:noProof/>
            <w:sz w:val="22"/>
            <w:szCs w:val="22"/>
          </w:rPr>
          <w:tab/>
        </w:r>
        <w:r w:rsidR="00A755B6" w:rsidRPr="00A755B6">
          <w:rPr>
            <w:rStyle w:val="Hyperlink"/>
            <w:noProof/>
          </w:rPr>
          <w:t>MEASUREMENT</w:t>
        </w:r>
      </w:hyperlink>
    </w:p>
    <w:p w14:paraId="59ECC1CC"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82" w:history="1">
        <w:r w:rsidR="00A755B6" w:rsidRPr="00A755B6">
          <w:rPr>
            <w:rStyle w:val="Hyperlink"/>
            <w:noProof/>
          </w:rPr>
          <w:t>20.</w:t>
        </w:r>
        <w:r w:rsidR="00A755B6" w:rsidRPr="00A755B6">
          <w:rPr>
            <w:rFonts w:eastAsiaTheme="minorEastAsia"/>
            <w:noProof/>
            <w:sz w:val="22"/>
            <w:szCs w:val="22"/>
          </w:rPr>
          <w:tab/>
        </w:r>
        <w:r w:rsidR="00A755B6" w:rsidRPr="00A755B6">
          <w:rPr>
            <w:rStyle w:val="Hyperlink"/>
            <w:noProof/>
          </w:rPr>
          <w:t>HOLD POINTS</w:t>
        </w:r>
      </w:hyperlink>
    </w:p>
    <w:p w14:paraId="6AD3A6FE" w14:textId="77777777" w:rsidR="00A755B6" w:rsidRPr="00A755B6" w:rsidRDefault="00726CFA" w:rsidP="00A755B6">
      <w:pPr>
        <w:pStyle w:val="TOC3"/>
        <w:tabs>
          <w:tab w:val="left" w:pos="1944"/>
          <w:tab w:val="right" w:pos="9345"/>
        </w:tabs>
        <w:ind w:hanging="1048"/>
        <w:rPr>
          <w:rFonts w:eastAsiaTheme="minorEastAsia"/>
          <w:noProof/>
          <w:sz w:val="22"/>
          <w:szCs w:val="22"/>
        </w:rPr>
      </w:pPr>
      <w:hyperlink w:anchor="_Toc487788083" w:history="1">
        <w:r w:rsidR="00A755B6" w:rsidRPr="00A755B6">
          <w:rPr>
            <w:rStyle w:val="Hyperlink"/>
            <w:noProof/>
          </w:rPr>
          <w:t>21.</w:t>
        </w:r>
        <w:r w:rsidR="00A755B6" w:rsidRPr="00A755B6">
          <w:rPr>
            <w:rFonts w:eastAsiaTheme="minorEastAsia"/>
            <w:noProof/>
            <w:sz w:val="22"/>
            <w:szCs w:val="22"/>
          </w:rPr>
          <w:tab/>
        </w:r>
        <w:r w:rsidR="00A755B6" w:rsidRPr="00A755B6">
          <w:rPr>
            <w:rStyle w:val="Hyperlink"/>
            <w:noProof/>
          </w:rPr>
          <w:t>VERIFICATION REQUIREMENTS AND RECORDS</w:t>
        </w:r>
      </w:hyperlink>
    </w:p>
    <w:p w14:paraId="1F21EF13" w14:textId="77777777" w:rsidR="00213A2C" w:rsidRPr="00B927A4" w:rsidRDefault="00A755B6" w:rsidP="00A755B6">
      <w:pPr>
        <w:ind w:hanging="1048"/>
        <w:jc w:val="left"/>
      </w:pPr>
      <w:r w:rsidRPr="00A755B6">
        <w:fldChar w:fldCharType="end"/>
      </w:r>
    </w:p>
    <w:p w14:paraId="73DD66F1" w14:textId="1621AD49" w:rsidR="00213A2C" w:rsidRPr="00B927A4" w:rsidRDefault="00A755B6" w:rsidP="00A755B6">
      <w:pPr>
        <w:ind w:left="426"/>
        <w:jc w:val="left"/>
      </w:pPr>
      <w:r w:rsidRPr="00B927A4">
        <w:t>ATTACHMENT CH10.A “EXAMPLE CONSTRUCTION DAILY DIARY FORM”</w:t>
      </w:r>
    </w:p>
    <w:p w14:paraId="4E35D411" w14:textId="77777777" w:rsidR="00213A2C" w:rsidRPr="00213A2C" w:rsidRDefault="00213A2C" w:rsidP="00213A2C">
      <w:pPr>
        <w:pStyle w:val="Heading3"/>
        <w:jc w:val="left"/>
      </w:pPr>
      <w:bookmarkStart w:id="0" w:name="_Toc487788063"/>
      <w:r w:rsidRPr="00213A2C">
        <w:t>GENERAL</w:t>
      </w:r>
      <w:bookmarkEnd w:id="0"/>
    </w:p>
    <w:p w14:paraId="09CA960D" w14:textId="5E444CF8" w:rsidR="00213A2C" w:rsidRDefault="00213A2C" w:rsidP="00C915B1">
      <w:pPr>
        <w:pStyle w:val="Paragraph"/>
      </w:pPr>
      <w:r w:rsidRPr="00B927A4">
        <w:t xml:space="preserve">This Part specifies the general requirements for undertaking </w:t>
      </w:r>
      <w:r w:rsidR="006F285F">
        <w:t xml:space="preserve">the </w:t>
      </w:r>
      <w:r w:rsidRPr="00B927A4">
        <w:t>construction</w:t>
      </w:r>
      <w:r w:rsidR="006F285F">
        <w:t xml:space="preserve"> of roadworks and/or bridgeworks</w:t>
      </w:r>
      <w:r w:rsidRPr="00B927A4">
        <w:t xml:space="preserve">. </w:t>
      </w:r>
    </w:p>
    <w:p w14:paraId="788053DE" w14:textId="3E32EB68" w:rsidR="00E44620" w:rsidRPr="00EB14D0" w:rsidRDefault="00E44620" w:rsidP="00726CFA">
      <w:pPr>
        <w:pStyle w:val="Paragraph"/>
      </w:pPr>
      <w:r w:rsidRPr="00EB14D0">
        <w:t>Unless specified otherwise, the definitions in the Austroads Publication No. AP-C87-1</w:t>
      </w:r>
      <w:r w:rsidR="00726CFA">
        <w:t>5</w:t>
      </w:r>
      <w:bookmarkStart w:id="1" w:name="_GoBack"/>
      <w:bookmarkEnd w:id="1"/>
      <w:r w:rsidRPr="00EB14D0">
        <w:t xml:space="preserve">”Glossary of Terms” (available from: </w:t>
      </w:r>
      <w:hyperlink r:id="rId8" w:history="1">
        <w:r w:rsidR="00726CFA" w:rsidRPr="00726CFA">
          <w:rPr>
            <w:rStyle w:val="Hyperlink"/>
          </w:rPr>
          <w:t>https://www.onlinepublications.austroads.com.au/items/AP-C87-15</w:t>
        </w:r>
      </w:hyperlink>
      <w:r>
        <w:t xml:space="preserve">) </w:t>
      </w:r>
      <w:r w:rsidRPr="00EB14D0">
        <w:t xml:space="preserve">apply to any term used in the Contract which is related to road or traffic engineering, </w:t>
      </w:r>
    </w:p>
    <w:p w14:paraId="6E1E53F2" w14:textId="77777777" w:rsidR="00E44620" w:rsidRPr="00EB14D0" w:rsidRDefault="00E44620" w:rsidP="00E44620">
      <w:pPr>
        <w:pStyle w:val="Paragraph"/>
      </w:pPr>
      <w:r w:rsidRPr="00EB14D0">
        <w:t xml:space="preserve">The </w:t>
      </w:r>
      <w:r w:rsidRPr="006D7261">
        <w:t xml:space="preserve">plant classifications in the Civil Contractors Federation publication “Earthmover &amp; Civil Contractor - Plant Specs” (available from: </w:t>
      </w:r>
      <w:hyperlink r:id="rId9" w:history="1">
        <w:r w:rsidRPr="006D7261">
          <w:rPr>
            <w:rStyle w:val="Hyperlink"/>
          </w:rPr>
          <w:t>http://www.plant-specs.com.au/</w:t>
        </w:r>
      </w:hyperlink>
      <w:hyperlink r:id="rId10" w:history="1"/>
      <w:r>
        <w:t xml:space="preserve">) </w:t>
      </w:r>
      <w:r w:rsidRPr="006D7261">
        <w:t>apply to this Contract</w:t>
      </w:r>
      <w:r w:rsidRPr="00EB14D0">
        <w:t>.</w:t>
      </w:r>
    </w:p>
    <w:p w14:paraId="1C876520" w14:textId="77777777" w:rsidR="00E44620" w:rsidRPr="00EB14D0" w:rsidRDefault="00E44620" w:rsidP="00E44620">
      <w:pPr>
        <w:pStyle w:val="Paragraph"/>
      </w:pPr>
      <w:r w:rsidRPr="00EB14D0">
        <w:t>The following</w:t>
      </w:r>
      <w:r>
        <w:t xml:space="preserve"> definitions apply to this Contract</w:t>
      </w:r>
      <w:r w:rsidRPr="00EB14D0">
        <w:t>:</w:t>
      </w:r>
    </w:p>
    <w:p w14:paraId="113F39FF" w14:textId="77777777" w:rsidR="00E44620" w:rsidRPr="00EB14D0" w:rsidRDefault="00E44620" w:rsidP="006F285F">
      <w:pPr>
        <w:spacing w:before="120"/>
        <w:ind w:left="1418"/>
        <w:jc w:val="left"/>
      </w:pPr>
      <w:r w:rsidRPr="00EB14D0">
        <w:rPr>
          <w:b/>
        </w:rPr>
        <w:t>“</w:t>
      </w:r>
      <w:proofErr w:type="spellStart"/>
      <w:r w:rsidRPr="00EB14D0">
        <w:rPr>
          <w:b/>
        </w:rPr>
        <w:t>MDD</w:t>
      </w:r>
      <w:proofErr w:type="spellEnd"/>
      <w:r w:rsidRPr="00EB14D0">
        <w:rPr>
          <w:b/>
        </w:rPr>
        <w:t>”</w:t>
      </w:r>
      <w:r w:rsidRPr="00EB14D0">
        <w:t xml:space="preserve"> means Maximum Dry Density.</w:t>
      </w:r>
    </w:p>
    <w:p w14:paraId="41A0960C" w14:textId="77777777" w:rsidR="00E44620" w:rsidRPr="00EB14D0" w:rsidRDefault="00E44620" w:rsidP="006F285F">
      <w:pPr>
        <w:spacing w:before="120"/>
        <w:ind w:left="1418"/>
        <w:jc w:val="left"/>
      </w:pPr>
      <w:r w:rsidRPr="00EB14D0">
        <w:rPr>
          <w:b/>
        </w:rPr>
        <w:t>“OMC”</w:t>
      </w:r>
      <w:r w:rsidRPr="00EB14D0">
        <w:t xml:space="preserve"> means Optimum Moisture Content.</w:t>
      </w:r>
    </w:p>
    <w:p w14:paraId="48A91CDB" w14:textId="77777777" w:rsidR="00E44620" w:rsidRPr="00EB14D0" w:rsidRDefault="00E44620" w:rsidP="006F285F">
      <w:pPr>
        <w:spacing w:before="120"/>
        <w:ind w:left="1418"/>
        <w:jc w:val="left"/>
      </w:pPr>
      <w:r w:rsidRPr="00EB14D0">
        <w:rPr>
          <w:b/>
        </w:rPr>
        <w:t>“Percentage Compaction”</w:t>
      </w:r>
      <w:r w:rsidRPr="00EB14D0">
        <w:t xml:space="preserve"> means the Dry Density Ratio (R</w:t>
      </w:r>
      <w:r w:rsidRPr="00EB14D0">
        <w:rPr>
          <w:vertAlign w:val="subscript"/>
        </w:rPr>
        <w:t>D</w:t>
      </w:r>
      <w:r w:rsidRPr="00EB14D0">
        <w:t xml:space="preserve">) as defined in </w:t>
      </w:r>
      <w:proofErr w:type="spellStart"/>
      <w:r w:rsidRPr="00EB14D0">
        <w:t>TP</w:t>
      </w:r>
      <w:proofErr w:type="spellEnd"/>
      <w:r w:rsidRPr="00EB14D0">
        <w:t> 320 and refers to modified compaction.</w:t>
      </w:r>
    </w:p>
    <w:p w14:paraId="1AC4D6E0" w14:textId="055CBF1C" w:rsidR="00E44620" w:rsidRPr="00EB14D0" w:rsidRDefault="00E44620" w:rsidP="00E44620">
      <w:pPr>
        <w:pStyle w:val="Paragraph"/>
      </w:pPr>
      <w:r w:rsidRPr="00EB14D0">
        <w:t xml:space="preserve">The following abbreviations may be used in </w:t>
      </w:r>
      <w:r w:rsidR="00A755B6">
        <w:t xml:space="preserve">this </w:t>
      </w:r>
      <w:r w:rsidRPr="00EB14D0">
        <w:t>Contract</w:t>
      </w:r>
      <w:r w:rsidR="00A755B6">
        <w:t>:</w:t>
      </w:r>
    </w:p>
    <w:p w14:paraId="0C7416A3" w14:textId="77777777" w:rsidR="00E44620" w:rsidRPr="00EB14D0" w:rsidRDefault="00E44620" w:rsidP="006F285F">
      <w:pPr>
        <w:tabs>
          <w:tab w:val="left" w:pos="1843"/>
        </w:tabs>
        <w:spacing w:before="120"/>
        <w:ind w:left="2410" w:hanging="992"/>
        <w:jc w:val="left"/>
      </w:pPr>
      <w:r w:rsidRPr="00EB14D0">
        <w:t xml:space="preserve">ASTM </w:t>
      </w:r>
      <w:r w:rsidRPr="00EB14D0">
        <w:tab/>
        <w:t>American Society for Testing and Materials</w:t>
      </w:r>
    </w:p>
    <w:p w14:paraId="5C9514B9" w14:textId="77777777" w:rsidR="00E44620" w:rsidRPr="00EB14D0" w:rsidRDefault="00E44620" w:rsidP="006F285F">
      <w:pPr>
        <w:tabs>
          <w:tab w:val="left" w:pos="1843"/>
        </w:tabs>
        <w:spacing w:before="120"/>
        <w:ind w:left="2410" w:hanging="992"/>
        <w:jc w:val="left"/>
      </w:pPr>
      <w:r w:rsidRPr="00EB14D0">
        <w:t>NATA</w:t>
      </w:r>
      <w:r w:rsidRPr="00EB14D0">
        <w:tab/>
        <w:t>National Association of Testing Authorities</w:t>
      </w:r>
    </w:p>
    <w:p w14:paraId="5E48EF2C" w14:textId="77777777" w:rsidR="00E44620" w:rsidRPr="00EB14D0" w:rsidRDefault="00E44620" w:rsidP="006F285F">
      <w:pPr>
        <w:tabs>
          <w:tab w:val="left" w:pos="1843"/>
        </w:tabs>
        <w:spacing w:before="120"/>
        <w:ind w:left="2410" w:hanging="992"/>
        <w:jc w:val="left"/>
      </w:pPr>
      <w:r w:rsidRPr="00EB14D0">
        <w:t xml:space="preserve">SA Water </w:t>
      </w:r>
      <w:r w:rsidRPr="00EB14D0">
        <w:tab/>
        <w:t>SA Water Corporation</w:t>
      </w:r>
    </w:p>
    <w:p w14:paraId="2F0C4F64" w14:textId="4EBB3C28" w:rsidR="00E44620" w:rsidRPr="00EB14D0" w:rsidRDefault="00E44620" w:rsidP="006F285F">
      <w:pPr>
        <w:tabs>
          <w:tab w:val="left" w:pos="1843"/>
        </w:tabs>
        <w:spacing w:before="120"/>
        <w:ind w:left="2410" w:hanging="992"/>
        <w:jc w:val="left"/>
      </w:pPr>
      <w:r w:rsidRPr="00EB14D0">
        <w:t>Telstra</w:t>
      </w:r>
      <w:r w:rsidRPr="00EB14D0">
        <w:tab/>
      </w:r>
      <w:proofErr w:type="spellStart"/>
      <w:r w:rsidRPr="00EB14D0">
        <w:t>Telstra</w:t>
      </w:r>
      <w:proofErr w:type="spellEnd"/>
      <w:r w:rsidRPr="00EB14D0">
        <w:t xml:space="preserve"> Corporation Ltd</w:t>
      </w:r>
    </w:p>
    <w:p w14:paraId="064E7218" w14:textId="77777777" w:rsidR="00E44620" w:rsidRPr="00EB14D0" w:rsidRDefault="00E44620" w:rsidP="006F285F">
      <w:pPr>
        <w:tabs>
          <w:tab w:val="left" w:pos="1843"/>
        </w:tabs>
        <w:spacing w:before="120"/>
        <w:ind w:left="2410" w:hanging="992"/>
        <w:jc w:val="left"/>
      </w:pPr>
      <w:proofErr w:type="spellStart"/>
      <w:r w:rsidRPr="00EB14D0">
        <w:t>TP</w:t>
      </w:r>
      <w:proofErr w:type="spellEnd"/>
      <w:r w:rsidRPr="00EB14D0">
        <w:t xml:space="preserve"> </w:t>
      </w:r>
      <w:r w:rsidRPr="00EB14D0">
        <w:tab/>
      </w:r>
      <w:r>
        <w:tab/>
      </w:r>
      <w:r w:rsidRPr="00EB14D0">
        <w:t xml:space="preserve">DPTI Test Procedure, available from: </w:t>
      </w:r>
      <w:hyperlink r:id="rId11" w:history="1">
        <w:r w:rsidRPr="00EB14D0">
          <w:rPr>
            <w:rStyle w:val="Hyperlink"/>
          </w:rPr>
          <w:t>http://www.dpti.sa.gov.au/contractor_documents</w:t>
        </w:r>
      </w:hyperlink>
      <w:r w:rsidRPr="00EB14D0">
        <w:t>.</w:t>
      </w:r>
    </w:p>
    <w:p w14:paraId="513E8098" w14:textId="77777777" w:rsidR="00213A2C" w:rsidRPr="00213A2C" w:rsidRDefault="00213A2C" w:rsidP="00213A2C">
      <w:pPr>
        <w:pStyle w:val="Heading3"/>
        <w:jc w:val="left"/>
      </w:pPr>
      <w:bookmarkStart w:id="2" w:name="_Toc487788064"/>
      <w:r w:rsidRPr="00213A2C">
        <w:t>WORKING DAYS AND HOURS OF WORK</w:t>
      </w:r>
      <w:bookmarkEnd w:id="2"/>
    </w:p>
    <w:p w14:paraId="30CC3EDD" w14:textId="77777777" w:rsidR="00213A2C" w:rsidRPr="00B927A4" w:rsidRDefault="00213A2C" w:rsidP="00213A2C">
      <w:pPr>
        <w:pStyle w:val="Paragraph"/>
      </w:pPr>
      <w:r w:rsidRPr="00B927A4">
        <w:t>For the purpose of administration of the Contract, ordinary working days and customary working hours will be those nominated on Schedule titled “Working Time".</w:t>
      </w:r>
    </w:p>
    <w:p w14:paraId="25C390D2" w14:textId="77777777" w:rsidR="00213A2C" w:rsidRPr="00B927A4" w:rsidRDefault="00213A2C" w:rsidP="00213A2C">
      <w:pPr>
        <w:pStyle w:val="Paragraph"/>
      </w:pPr>
      <w:r w:rsidRPr="00B927A4">
        <w:t>The Contractor must not work more than one shift per day exceeding 10 hours duration and must not work on Sundays or public holidays without the prior approval of the Principal.</w:t>
      </w:r>
    </w:p>
    <w:p w14:paraId="5A979A7C" w14:textId="77777777" w:rsidR="00213A2C" w:rsidRPr="00B927A4" w:rsidRDefault="00213A2C" w:rsidP="00213A2C">
      <w:pPr>
        <w:jc w:val="left"/>
      </w:pPr>
    </w:p>
    <w:p w14:paraId="7D49BE0D" w14:textId="77777777" w:rsidR="006F285F" w:rsidRDefault="00213A2C" w:rsidP="00727A11">
      <w:pPr>
        <w:pStyle w:val="Paragraph"/>
      </w:pPr>
      <w:r w:rsidRPr="00B927A4">
        <w:lastRenderedPageBreak/>
        <w:t xml:space="preserve">When adjusting a date pursuant to extension of time, account will be taken of non-working days (as determined from Schedule “Working Time”) that would normally fall in the extended period such that the number of ordinary working days in the extended period equals the number of days extension granted. </w:t>
      </w:r>
    </w:p>
    <w:p w14:paraId="050E6ADB" w14:textId="016304C9" w:rsidR="00213A2C" w:rsidRPr="00B927A4" w:rsidRDefault="00213A2C" w:rsidP="00727A11">
      <w:pPr>
        <w:pStyle w:val="Paragraph"/>
      </w:pPr>
      <w:r w:rsidRPr="00B927A4">
        <w:t>If Schedule “Working Time” is not included in this Contract, Sundays, Public Holidays, Rostered Days Off and the Christmas/New Year annual leave break are deemed to be non-working days.</w:t>
      </w:r>
    </w:p>
    <w:p w14:paraId="6E98398F" w14:textId="1A35349B" w:rsidR="00213A2C" w:rsidRPr="00213A2C" w:rsidRDefault="00213A2C" w:rsidP="00727A11">
      <w:pPr>
        <w:pStyle w:val="Heading3"/>
        <w:jc w:val="left"/>
      </w:pPr>
      <w:bookmarkStart w:id="3" w:name="_Toc487788065"/>
      <w:r w:rsidRPr="00213A2C">
        <w:t xml:space="preserve">PREQUALIFICATION </w:t>
      </w:r>
      <w:r w:rsidR="00735936">
        <w:t xml:space="preserve">AND </w:t>
      </w:r>
      <w:r w:rsidR="00735936" w:rsidRPr="00735936">
        <w:t>CERTIFICATION / ACCREDITATION</w:t>
      </w:r>
      <w:bookmarkEnd w:id="3"/>
    </w:p>
    <w:p w14:paraId="517CA12C" w14:textId="77777777" w:rsidR="00213A2C" w:rsidRPr="00B927A4" w:rsidRDefault="00213A2C" w:rsidP="00727A11">
      <w:pPr>
        <w:pStyle w:val="Paragraph"/>
      </w:pPr>
      <w:r w:rsidRPr="00B927A4">
        <w:t>Where the work listed in Table 3 forms part of the Contract, that work must carried out by a company that meets the requirement specified in Table 3.</w:t>
      </w:r>
    </w:p>
    <w:p w14:paraId="72F02CD8" w14:textId="77777777" w:rsidR="00213A2C" w:rsidRPr="00B927A4" w:rsidRDefault="00213A2C" w:rsidP="00727A11">
      <w:pPr>
        <w:jc w:val="left"/>
      </w:pPr>
    </w:p>
    <w:tbl>
      <w:tblPr>
        <w:tblW w:w="0" w:type="auto"/>
        <w:tblInd w:w="8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826"/>
        <w:gridCol w:w="4673"/>
      </w:tblGrid>
      <w:tr w:rsidR="00213A2C" w:rsidRPr="00B927A4" w14:paraId="18A475D2" w14:textId="77777777" w:rsidTr="00A755B6">
        <w:trPr>
          <w:cantSplit/>
        </w:trPr>
        <w:tc>
          <w:tcPr>
            <w:tcW w:w="8499" w:type="dxa"/>
            <w:gridSpan w:val="2"/>
          </w:tcPr>
          <w:p w14:paraId="02F55402" w14:textId="521C5263" w:rsidR="00213A2C" w:rsidRPr="00B927A4" w:rsidRDefault="00213A2C" w:rsidP="00A755B6">
            <w:pPr>
              <w:pStyle w:val="TenderText"/>
              <w:spacing w:before="60" w:after="60"/>
              <w:jc w:val="center"/>
              <w:rPr>
                <w:rFonts w:ascii="Arial" w:hAnsi="Arial" w:cs="Arial"/>
                <w:b/>
                <w:bCs/>
                <w:sz w:val="18"/>
                <w:szCs w:val="18"/>
              </w:rPr>
            </w:pPr>
            <w:r w:rsidRPr="00B927A4">
              <w:rPr>
                <w:rFonts w:ascii="Arial" w:hAnsi="Arial" w:cs="Arial"/>
                <w:b/>
                <w:bCs/>
                <w:sz w:val="18"/>
                <w:szCs w:val="18"/>
              </w:rPr>
              <w:t>Table 3.</w:t>
            </w:r>
          </w:p>
        </w:tc>
      </w:tr>
      <w:tr w:rsidR="00213A2C" w:rsidRPr="00B927A4" w14:paraId="169769B3" w14:textId="77777777" w:rsidTr="00A755B6">
        <w:tc>
          <w:tcPr>
            <w:tcW w:w="8499" w:type="dxa"/>
            <w:gridSpan w:val="2"/>
          </w:tcPr>
          <w:p w14:paraId="7848A964"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b/>
                <w:bCs/>
                <w:sz w:val="18"/>
                <w:szCs w:val="18"/>
              </w:rPr>
              <w:t>Prequalification with DPTI</w:t>
            </w:r>
          </w:p>
        </w:tc>
      </w:tr>
      <w:tr w:rsidR="00213A2C" w:rsidRPr="00B927A4" w14:paraId="35EA895C" w14:textId="77777777" w:rsidTr="00A755B6">
        <w:tc>
          <w:tcPr>
            <w:tcW w:w="3826" w:type="dxa"/>
          </w:tcPr>
          <w:p w14:paraId="49BEC1FB"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Arboriculture (tree trimming / removal)</w:t>
            </w:r>
          </w:p>
        </w:tc>
        <w:tc>
          <w:tcPr>
            <w:tcW w:w="4673" w:type="dxa"/>
          </w:tcPr>
          <w:p w14:paraId="36249EBD"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AB2</w:t>
            </w:r>
          </w:p>
        </w:tc>
      </w:tr>
      <w:tr w:rsidR="00213A2C" w:rsidRPr="00B927A4" w14:paraId="5357DF5D" w14:textId="77777777" w:rsidTr="00A755B6">
        <w:tc>
          <w:tcPr>
            <w:tcW w:w="3826" w:type="dxa"/>
          </w:tcPr>
          <w:p w14:paraId="01A459F4"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Asphalt</w:t>
            </w:r>
          </w:p>
        </w:tc>
        <w:tc>
          <w:tcPr>
            <w:tcW w:w="4673" w:type="dxa"/>
          </w:tcPr>
          <w:p w14:paraId="191B9CB7"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A2</w:t>
            </w:r>
          </w:p>
        </w:tc>
      </w:tr>
      <w:tr w:rsidR="00213A2C" w:rsidRPr="00B927A4" w14:paraId="1A99B20E" w14:textId="77777777" w:rsidTr="00A755B6">
        <w:tc>
          <w:tcPr>
            <w:tcW w:w="3826" w:type="dxa"/>
          </w:tcPr>
          <w:p w14:paraId="6D20D1AE"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Landscaping</w:t>
            </w:r>
          </w:p>
        </w:tc>
        <w:tc>
          <w:tcPr>
            <w:tcW w:w="4673" w:type="dxa"/>
          </w:tcPr>
          <w:p w14:paraId="1F18EF1B"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L2 for the appropriate class of work</w:t>
            </w:r>
          </w:p>
        </w:tc>
      </w:tr>
      <w:tr w:rsidR="00213A2C" w:rsidRPr="00B927A4" w14:paraId="4A05F500" w14:textId="77777777" w:rsidTr="00A755B6">
        <w:tc>
          <w:tcPr>
            <w:tcW w:w="3826" w:type="dxa"/>
          </w:tcPr>
          <w:p w14:paraId="1550955C"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Pavement Materials</w:t>
            </w:r>
          </w:p>
        </w:tc>
        <w:tc>
          <w:tcPr>
            <w:tcW w:w="4673" w:type="dxa"/>
          </w:tcPr>
          <w:p w14:paraId="4F7EAED5"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Appropriate category for the material specified</w:t>
            </w:r>
          </w:p>
        </w:tc>
      </w:tr>
      <w:tr w:rsidR="00213A2C" w:rsidRPr="00B927A4" w14:paraId="11F8E2DE" w14:textId="77777777" w:rsidTr="00A755B6">
        <w:tc>
          <w:tcPr>
            <w:tcW w:w="3826" w:type="dxa"/>
          </w:tcPr>
          <w:p w14:paraId="6194CFBF"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Sprayed Bituminous Surfacing</w:t>
            </w:r>
          </w:p>
        </w:tc>
        <w:tc>
          <w:tcPr>
            <w:tcW w:w="4673" w:type="dxa"/>
          </w:tcPr>
          <w:p w14:paraId="24F2CEEB"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S2</w:t>
            </w:r>
          </w:p>
        </w:tc>
      </w:tr>
      <w:tr w:rsidR="00213A2C" w:rsidRPr="00B927A4" w14:paraId="7EE3C3E4" w14:textId="77777777" w:rsidTr="00A755B6">
        <w:tc>
          <w:tcPr>
            <w:tcW w:w="3826" w:type="dxa"/>
          </w:tcPr>
          <w:p w14:paraId="14241BCB"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Supply of Signs</w:t>
            </w:r>
          </w:p>
        </w:tc>
        <w:tc>
          <w:tcPr>
            <w:tcW w:w="4673" w:type="dxa"/>
          </w:tcPr>
          <w:p w14:paraId="484AF69D"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Category 1</w:t>
            </w:r>
          </w:p>
        </w:tc>
      </w:tr>
      <w:tr w:rsidR="00213A2C" w:rsidRPr="00B927A4" w14:paraId="6D5AD36E" w14:textId="77777777" w:rsidTr="00A755B6">
        <w:tc>
          <w:tcPr>
            <w:tcW w:w="3826" w:type="dxa"/>
          </w:tcPr>
          <w:p w14:paraId="02DF0063" w14:textId="77777777" w:rsidR="00213A2C" w:rsidRPr="00B927A4" w:rsidRDefault="00213A2C" w:rsidP="00727A11">
            <w:pPr>
              <w:pStyle w:val="TenderText"/>
              <w:spacing w:before="60" w:after="60"/>
              <w:jc w:val="left"/>
              <w:rPr>
                <w:rFonts w:ascii="Arial" w:hAnsi="Arial" w:cs="Arial"/>
                <w:sz w:val="18"/>
                <w:szCs w:val="18"/>
              </w:rPr>
            </w:pPr>
            <w:proofErr w:type="spellStart"/>
            <w:r w:rsidRPr="00B927A4">
              <w:rPr>
                <w:rFonts w:ascii="Arial" w:hAnsi="Arial" w:cs="Arial"/>
                <w:sz w:val="18"/>
                <w:szCs w:val="18"/>
              </w:rPr>
              <w:t>Workzone</w:t>
            </w:r>
            <w:proofErr w:type="spellEnd"/>
            <w:r w:rsidRPr="00B927A4">
              <w:rPr>
                <w:rFonts w:ascii="Arial" w:hAnsi="Arial" w:cs="Arial"/>
                <w:sz w:val="18"/>
                <w:szCs w:val="18"/>
              </w:rPr>
              <w:t xml:space="preserve"> Traffic Management</w:t>
            </w:r>
            <w:r>
              <w:rPr>
                <w:rFonts w:ascii="Arial" w:hAnsi="Arial" w:cs="Arial"/>
                <w:sz w:val="18"/>
                <w:szCs w:val="18"/>
              </w:rPr>
              <w:t xml:space="preserve"> *</w:t>
            </w:r>
            <w:r w:rsidRPr="00B927A4">
              <w:rPr>
                <w:rFonts w:ascii="Arial" w:hAnsi="Arial" w:cs="Arial"/>
                <w:sz w:val="18"/>
                <w:szCs w:val="18"/>
                <w:vertAlign w:val="superscript"/>
              </w:rPr>
              <w:t xml:space="preserve"> </w:t>
            </w:r>
          </w:p>
        </w:tc>
        <w:tc>
          <w:tcPr>
            <w:tcW w:w="4673" w:type="dxa"/>
          </w:tcPr>
          <w:p w14:paraId="401E8180"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Category 1</w:t>
            </w:r>
          </w:p>
        </w:tc>
      </w:tr>
      <w:tr w:rsidR="00213A2C" w:rsidRPr="00B927A4" w14:paraId="2C2275C3" w14:textId="77777777" w:rsidTr="00A755B6">
        <w:tc>
          <w:tcPr>
            <w:tcW w:w="8499" w:type="dxa"/>
            <w:gridSpan w:val="2"/>
          </w:tcPr>
          <w:p w14:paraId="506E2230" w14:textId="77777777" w:rsidR="00213A2C" w:rsidRPr="00B927A4" w:rsidRDefault="00213A2C" w:rsidP="00727A11">
            <w:pPr>
              <w:pStyle w:val="TenderText"/>
              <w:spacing w:before="60" w:after="60"/>
              <w:jc w:val="left"/>
              <w:rPr>
                <w:rFonts w:ascii="Arial" w:hAnsi="Arial" w:cs="Arial"/>
                <w:b/>
                <w:sz w:val="18"/>
                <w:szCs w:val="18"/>
              </w:rPr>
            </w:pPr>
            <w:r w:rsidRPr="00B927A4">
              <w:rPr>
                <w:rFonts w:ascii="Arial" w:hAnsi="Arial" w:cs="Arial"/>
                <w:b/>
                <w:sz w:val="18"/>
                <w:szCs w:val="18"/>
              </w:rPr>
              <w:t>Certification / Accreditation</w:t>
            </w:r>
          </w:p>
        </w:tc>
      </w:tr>
      <w:tr w:rsidR="00213A2C" w:rsidRPr="00B927A4" w14:paraId="35129A99" w14:textId="77777777" w:rsidTr="00A755B6">
        <w:tc>
          <w:tcPr>
            <w:tcW w:w="3826" w:type="dxa"/>
          </w:tcPr>
          <w:p w14:paraId="410C8A03"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Minor fabricated steel products, including noise barrier components, sign gantries, grids, grates, pit covers and fabricated posts / poles / mast arms</w:t>
            </w:r>
          </w:p>
        </w:tc>
        <w:tc>
          <w:tcPr>
            <w:tcW w:w="4673" w:type="dxa"/>
          </w:tcPr>
          <w:p w14:paraId="19177C92" w14:textId="77777777" w:rsidR="00213A2C" w:rsidRPr="00B927A4" w:rsidRDefault="00213A2C" w:rsidP="00727A11">
            <w:pPr>
              <w:pStyle w:val="TenderText"/>
              <w:spacing w:before="60" w:after="60"/>
              <w:jc w:val="left"/>
              <w:rPr>
                <w:rFonts w:ascii="Arial" w:hAnsi="Arial" w:cs="Arial"/>
                <w:bCs/>
                <w:sz w:val="18"/>
                <w:szCs w:val="18"/>
              </w:rPr>
            </w:pPr>
            <w:r w:rsidRPr="00B927A4">
              <w:rPr>
                <w:rFonts w:ascii="Arial" w:hAnsi="Arial" w:cs="Arial"/>
                <w:sz w:val="18"/>
                <w:szCs w:val="18"/>
              </w:rPr>
              <w:t xml:space="preserve">Certified to Construction Category 2 in accordance with the National Structural Steelwork Compliance Scheme (refer </w:t>
            </w:r>
            <w:hyperlink r:id="rId12" w:history="1">
              <w:r w:rsidRPr="00B927A4">
                <w:rPr>
                  <w:rStyle w:val="Hyperlink"/>
                  <w:rFonts w:ascii="Arial" w:hAnsi="Arial" w:cs="Arial"/>
                  <w:sz w:val="18"/>
                  <w:szCs w:val="18"/>
                </w:rPr>
                <w:t>http://www.scacompliance.com.au</w:t>
              </w:r>
            </w:hyperlink>
            <w:r w:rsidRPr="00B927A4">
              <w:rPr>
                <w:rFonts w:ascii="Arial" w:hAnsi="Arial" w:cs="Arial"/>
                <w:sz w:val="18"/>
                <w:szCs w:val="18"/>
              </w:rPr>
              <w:t>), unless a higher category has been specified in the design.</w:t>
            </w:r>
          </w:p>
        </w:tc>
      </w:tr>
      <w:tr w:rsidR="00213A2C" w:rsidRPr="00B927A4" w14:paraId="6530BE28" w14:textId="77777777" w:rsidTr="00A755B6">
        <w:tc>
          <w:tcPr>
            <w:tcW w:w="3826" w:type="dxa"/>
          </w:tcPr>
          <w:p w14:paraId="25C1A3D8"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Major Structural steel fabrication in accordance with Part S30 “Fabrication of Structural Steelwork”</w:t>
            </w:r>
          </w:p>
        </w:tc>
        <w:tc>
          <w:tcPr>
            <w:tcW w:w="4673" w:type="dxa"/>
          </w:tcPr>
          <w:p w14:paraId="10B75B28" w14:textId="77777777" w:rsidR="00213A2C" w:rsidRPr="00B927A4" w:rsidRDefault="00213A2C" w:rsidP="00727A11">
            <w:pPr>
              <w:pStyle w:val="TenderText"/>
              <w:spacing w:before="60" w:after="60"/>
              <w:jc w:val="left"/>
              <w:rPr>
                <w:rFonts w:ascii="Arial" w:hAnsi="Arial" w:cs="Arial"/>
                <w:bCs/>
                <w:sz w:val="18"/>
                <w:szCs w:val="18"/>
              </w:rPr>
            </w:pPr>
            <w:r w:rsidRPr="00B927A4">
              <w:rPr>
                <w:rFonts w:ascii="Arial" w:hAnsi="Arial" w:cs="Arial"/>
                <w:sz w:val="18"/>
                <w:szCs w:val="18"/>
              </w:rPr>
              <w:t xml:space="preserve">Certified to Construction Category 3 in accordance with the National Structural Steelwork Compliance Scheme (refer </w:t>
            </w:r>
            <w:hyperlink r:id="rId13" w:history="1">
              <w:r w:rsidRPr="00B927A4">
                <w:rPr>
                  <w:rStyle w:val="Hyperlink"/>
                  <w:rFonts w:ascii="Arial" w:hAnsi="Arial" w:cs="Arial"/>
                  <w:sz w:val="18"/>
                  <w:szCs w:val="18"/>
                </w:rPr>
                <w:t>http://www.scacompliance.com.au</w:t>
              </w:r>
            </w:hyperlink>
            <w:r w:rsidRPr="00B927A4">
              <w:rPr>
                <w:rFonts w:ascii="Arial" w:hAnsi="Arial" w:cs="Arial"/>
                <w:sz w:val="18"/>
                <w:szCs w:val="18"/>
              </w:rPr>
              <w:t>).</w:t>
            </w:r>
          </w:p>
        </w:tc>
      </w:tr>
      <w:tr w:rsidR="00213A2C" w:rsidRPr="00B927A4" w14:paraId="163CA8F0" w14:textId="77777777" w:rsidTr="00A755B6">
        <w:tc>
          <w:tcPr>
            <w:tcW w:w="3826" w:type="dxa"/>
          </w:tcPr>
          <w:p w14:paraId="19FC0051"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sz w:val="18"/>
                <w:szCs w:val="18"/>
              </w:rPr>
              <w:t>Pavement Marking</w:t>
            </w:r>
          </w:p>
        </w:tc>
        <w:tc>
          <w:tcPr>
            <w:tcW w:w="4673" w:type="dxa"/>
          </w:tcPr>
          <w:p w14:paraId="73A4D999" w14:textId="77777777" w:rsidR="00213A2C" w:rsidRPr="00B927A4" w:rsidRDefault="00213A2C" w:rsidP="00727A11">
            <w:pPr>
              <w:pStyle w:val="TenderText"/>
              <w:spacing w:before="60" w:after="60"/>
              <w:jc w:val="left"/>
              <w:rPr>
                <w:rFonts w:ascii="Arial" w:hAnsi="Arial" w:cs="Arial"/>
                <w:sz w:val="18"/>
                <w:szCs w:val="18"/>
              </w:rPr>
            </w:pPr>
            <w:r w:rsidRPr="00B927A4">
              <w:rPr>
                <w:rFonts w:ascii="Arial" w:hAnsi="Arial" w:cs="Arial"/>
                <w:bCs/>
                <w:sz w:val="18"/>
                <w:szCs w:val="18"/>
              </w:rPr>
              <w:t xml:space="preserve">Painting Contractors Certification Program accreditation appropriate for the type of pavement marking (refer </w:t>
            </w:r>
            <w:hyperlink r:id="rId14" w:history="1">
              <w:r w:rsidRPr="00B927A4">
                <w:rPr>
                  <w:rStyle w:val="Hyperlink"/>
                  <w:rFonts w:ascii="Arial" w:hAnsi="Arial" w:cs="Arial"/>
                  <w:sz w:val="18"/>
                  <w:szCs w:val="18"/>
                </w:rPr>
                <w:t>www.apas.gov.au/pccp</w:t>
              </w:r>
            </w:hyperlink>
            <w:r w:rsidRPr="00B927A4">
              <w:rPr>
                <w:rFonts w:ascii="Arial" w:hAnsi="Arial" w:cs="Arial"/>
                <w:bCs/>
                <w:sz w:val="18"/>
                <w:szCs w:val="18"/>
              </w:rPr>
              <w:t>).</w:t>
            </w:r>
          </w:p>
        </w:tc>
      </w:tr>
    </w:tbl>
    <w:p w14:paraId="3029B776" w14:textId="77777777" w:rsidR="00213A2C" w:rsidRPr="00B927A4" w:rsidRDefault="00213A2C" w:rsidP="00727A11">
      <w:pPr>
        <w:spacing w:before="120"/>
        <w:ind w:left="720"/>
        <w:jc w:val="left"/>
      </w:pPr>
      <w:r w:rsidRPr="00B927A4">
        <w:t>Notes:</w:t>
      </w:r>
    </w:p>
    <w:p w14:paraId="4B6FED27" w14:textId="45054140" w:rsidR="00213A2C" w:rsidRPr="002F6030" w:rsidRDefault="00213A2C" w:rsidP="00727A11">
      <w:pPr>
        <w:pStyle w:val="ListParagraph"/>
        <w:numPr>
          <w:ilvl w:val="0"/>
          <w:numId w:val="17"/>
        </w:numPr>
        <w:tabs>
          <w:tab w:val="left" w:pos="426"/>
        </w:tabs>
        <w:jc w:val="left"/>
      </w:pPr>
      <w:r w:rsidRPr="002F6030">
        <w:t xml:space="preserve">Subject to compliance with Part G20 “Provision for Traffic”, prequalification for </w:t>
      </w:r>
      <w:proofErr w:type="spellStart"/>
      <w:r w:rsidRPr="002F6030">
        <w:t>Workzone</w:t>
      </w:r>
      <w:proofErr w:type="spellEnd"/>
      <w:r w:rsidRPr="002F6030">
        <w:t xml:space="preserve"> Traffic Management is not required if the Contractor self performs the traffic control.</w:t>
      </w:r>
    </w:p>
    <w:p w14:paraId="67C495E5" w14:textId="77777777" w:rsidR="00213A2C" w:rsidRPr="00B927A4" w:rsidRDefault="00213A2C" w:rsidP="00727A11">
      <w:pPr>
        <w:pStyle w:val="Paragraph"/>
      </w:pPr>
      <w:r w:rsidRPr="00B927A4">
        <w:t>A list of companies who are prequalified with DPTI may be obtained from the following internet site:</w:t>
      </w:r>
    </w:p>
    <w:p w14:paraId="7BB76919" w14:textId="77777777" w:rsidR="00213A2C" w:rsidRPr="00B927A4" w:rsidRDefault="00726CFA" w:rsidP="00727A11">
      <w:pPr>
        <w:ind w:left="1134"/>
        <w:jc w:val="left"/>
        <w:rPr>
          <w:color w:val="0000FF"/>
        </w:rPr>
      </w:pPr>
      <w:hyperlink r:id="rId15" w:history="1">
        <w:r w:rsidR="00213A2C" w:rsidRPr="00B927A4">
          <w:rPr>
            <w:rStyle w:val="Hyperlink"/>
          </w:rPr>
          <w:t>http://www.dpti.sa.gov.au/documents/contractsandtenders/prequalification</w:t>
        </w:r>
      </w:hyperlink>
      <w:r w:rsidR="00213A2C" w:rsidRPr="00B927A4">
        <w:rPr>
          <w:color w:val="0000FF"/>
        </w:rPr>
        <w:t>.</w:t>
      </w:r>
    </w:p>
    <w:p w14:paraId="5091A4E2" w14:textId="77777777" w:rsidR="00213A2C" w:rsidRPr="00213A2C" w:rsidRDefault="00213A2C" w:rsidP="00727A11">
      <w:pPr>
        <w:pStyle w:val="Heading3"/>
        <w:jc w:val="left"/>
      </w:pPr>
      <w:bookmarkStart w:id="4" w:name="_Toc487788066"/>
      <w:r w:rsidRPr="00213A2C">
        <w:t>RECORDING OF ACTIVITIES</w:t>
      </w:r>
      <w:bookmarkEnd w:id="4"/>
    </w:p>
    <w:p w14:paraId="0DE3D82F" w14:textId="77777777" w:rsidR="00213A2C" w:rsidRPr="00B927A4" w:rsidRDefault="00213A2C" w:rsidP="00727A11">
      <w:pPr>
        <w:pStyle w:val="Paragraph"/>
      </w:pPr>
      <w:r w:rsidRPr="00B927A4">
        <w:t>The Contractor must record its activities on a daily diary form or electronic information management system, which at a minimum includes:</w:t>
      </w:r>
    </w:p>
    <w:p w14:paraId="78E94096" w14:textId="77777777" w:rsidR="00213A2C" w:rsidRPr="00B927A4" w:rsidRDefault="00213A2C" w:rsidP="00727A11">
      <w:pPr>
        <w:pStyle w:val="Sub-sub-paragraph"/>
        <w:tabs>
          <w:tab w:val="num" w:pos="1560"/>
        </w:tabs>
        <w:spacing w:before="120"/>
        <w:ind w:left="1559" w:hanging="425"/>
        <w:jc w:val="left"/>
      </w:pPr>
      <w:r w:rsidRPr="00B927A4">
        <w:t>plant and labour used on each Lot;</w:t>
      </w:r>
    </w:p>
    <w:p w14:paraId="275FBF91" w14:textId="77777777" w:rsidR="00213A2C" w:rsidRPr="00B927A4" w:rsidRDefault="00213A2C" w:rsidP="00727A11">
      <w:pPr>
        <w:pStyle w:val="Sub-sub-paragraph"/>
        <w:tabs>
          <w:tab w:val="num" w:pos="1560"/>
        </w:tabs>
        <w:spacing w:before="120"/>
        <w:ind w:left="1559" w:hanging="425"/>
        <w:jc w:val="left"/>
      </w:pPr>
      <w:r w:rsidRPr="00B927A4">
        <w:t>Lot number and location (including string Number and chainage where appropriate); and</w:t>
      </w:r>
    </w:p>
    <w:p w14:paraId="1F44E7EF" w14:textId="0BB6A025" w:rsidR="00213A2C" w:rsidRPr="00B927A4" w:rsidRDefault="00213A2C" w:rsidP="00727A11">
      <w:pPr>
        <w:pStyle w:val="Sub-sub-paragraph"/>
        <w:tabs>
          <w:tab w:val="num" w:pos="1560"/>
        </w:tabs>
        <w:spacing w:before="120"/>
        <w:ind w:left="1559" w:hanging="425"/>
        <w:jc w:val="left"/>
      </w:pPr>
      <w:r w:rsidRPr="00B927A4">
        <w:t xml:space="preserve">any other relevant information which is </w:t>
      </w:r>
      <w:r w:rsidR="006F285F" w:rsidRPr="00B927A4">
        <w:t>included in</w:t>
      </w:r>
      <w:r w:rsidRPr="00B927A4">
        <w:t xml:space="preserve"> Attachment CH10.A “Example Construction Daily Diary Form”.</w:t>
      </w:r>
    </w:p>
    <w:p w14:paraId="2391892B" w14:textId="77777777" w:rsidR="00A755B6" w:rsidRDefault="00213A2C" w:rsidP="00727A11">
      <w:pPr>
        <w:pStyle w:val="Paragraph"/>
      </w:pPr>
      <w:r w:rsidRPr="00B927A4">
        <w:t>Each day’s records must be signed by the Contractor or otherwise confirmed in an electronic information management system and submitted to the Principal prior to the end of the following day</w:t>
      </w:r>
    </w:p>
    <w:p w14:paraId="73FD4E41" w14:textId="71A71885" w:rsidR="00213A2C" w:rsidRPr="00B927A4" w:rsidRDefault="00213A2C" w:rsidP="00727A11">
      <w:pPr>
        <w:pStyle w:val="Paragraph"/>
      </w:pPr>
      <w:r w:rsidRPr="00B927A4">
        <w:t>At any time the Principal may check the records compiled by the Contractor. In the event that in the Principal’s reasonable opinion the records do not reflect the actual activities undertaken, the Principal may record the discrepancy on the Daily Diary Form.</w:t>
      </w:r>
    </w:p>
    <w:p w14:paraId="170980B7" w14:textId="77777777" w:rsidR="00213A2C" w:rsidRPr="00B927A4" w:rsidRDefault="00213A2C" w:rsidP="00727A11">
      <w:pPr>
        <w:pStyle w:val="Paragraph"/>
      </w:pPr>
      <w:r w:rsidRPr="00B927A4">
        <w:t>The purpose of these records is to assist in the valuation of variations and determination of any extension of time which may arise during the course of the Contract.</w:t>
      </w:r>
    </w:p>
    <w:p w14:paraId="09625403" w14:textId="77777777" w:rsidR="00213A2C" w:rsidRPr="0023268C" w:rsidRDefault="00213A2C" w:rsidP="00727A11">
      <w:pPr>
        <w:pStyle w:val="Heading3"/>
        <w:jc w:val="left"/>
        <w:rPr>
          <w:b w:val="0"/>
          <w:bCs/>
        </w:rPr>
      </w:pPr>
      <w:bookmarkStart w:id="5" w:name="_Toc487788067"/>
      <w:r w:rsidRPr="00213A2C">
        <w:lastRenderedPageBreak/>
        <w:t>CONTRACTOR'S COMPOUND AND PRINCIPAL'S REQUIREMENTS</w:t>
      </w:r>
      <w:bookmarkEnd w:id="5"/>
    </w:p>
    <w:p w14:paraId="06AB187F" w14:textId="1D8AE130" w:rsidR="00213A2C" w:rsidRPr="00B927A4" w:rsidRDefault="004E7655" w:rsidP="00727A11">
      <w:pPr>
        <w:pStyle w:val="Paragraph"/>
      </w:pPr>
      <w:r>
        <w:t>The contractor must provide</w:t>
      </w:r>
      <w:r w:rsidR="006C1110">
        <w:t xml:space="preserve"> the</w:t>
      </w:r>
      <w:r>
        <w:t xml:space="preserve"> facilities </w:t>
      </w:r>
      <w:r w:rsidR="006C1110">
        <w:t xml:space="preserve">specified in </w:t>
      </w:r>
      <w:r w:rsidR="006C1110" w:rsidRPr="00B927A4">
        <w:t xml:space="preserve">the </w:t>
      </w:r>
      <w:r w:rsidR="006C1110" w:rsidRPr="00B927A4">
        <w:rPr>
          <w:b/>
          <w:bCs/>
        </w:rPr>
        <w:t>Contract Specific Requirements</w:t>
      </w:r>
      <w:r w:rsidR="006C1110" w:rsidRPr="00B927A4">
        <w:t xml:space="preserve"> </w:t>
      </w:r>
      <w:r w:rsidR="006C1110">
        <w:t>(if any)</w:t>
      </w:r>
      <w:r w:rsidR="00ED0FFE">
        <w:t xml:space="preserve"> </w:t>
      </w:r>
      <w:r>
        <w:t xml:space="preserve">for the use of the Principal when administering the Contract </w:t>
      </w:r>
    </w:p>
    <w:p w14:paraId="1F86CAB4" w14:textId="77777777" w:rsidR="00213A2C" w:rsidRPr="00B927A4" w:rsidRDefault="00213A2C" w:rsidP="00727A11">
      <w:pPr>
        <w:pStyle w:val="Paragraph"/>
        <w:rPr>
          <w:color w:val="000000"/>
        </w:rPr>
      </w:pPr>
      <w:r w:rsidRPr="00B927A4">
        <w:rPr>
          <w:color w:val="000000"/>
        </w:rPr>
        <w:t xml:space="preserve">If "Establishment Charges" is included in a payment schedule, this payment item is deemed to include establishment of site buildings, </w:t>
      </w:r>
      <w:r w:rsidRPr="00213A2C">
        <w:t>transport</w:t>
      </w:r>
      <w:r w:rsidRPr="00B927A4">
        <w:rPr>
          <w:color w:val="000000"/>
        </w:rPr>
        <w:t xml:space="preserve"> of major items of plant to the site, </w:t>
      </w:r>
      <w:r w:rsidRPr="00B927A4">
        <w:t>demobilisation and site cleanup.</w:t>
      </w:r>
    </w:p>
    <w:p w14:paraId="5823ACF3" w14:textId="77777777" w:rsidR="00235DA8" w:rsidRPr="00B927A4" w:rsidRDefault="00235DA8" w:rsidP="00235DA8">
      <w:pPr>
        <w:pStyle w:val="Paragraph"/>
      </w:pPr>
      <w:r w:rsidRPr="00B927A4">
        <w:t>The operation and maintenance of site buildings and associated costs are deemed to be included in on site overheads.</w:t>
      </w:r>
    </w:p>
    <w:p w14:paraId="66434511" w14:textId="77777777" w:rsidR="00235DA8" w:rsidRPr="00B927A4" w:rsidRDefault="00235DA8" w:rsidP="00235DA8">
      <w:pPr>
        <w:pStyle w:val="Paragraph"/>
      </w:pPr>
      <w:r w:rsidRPr="00B927A4">
        <w:t>If the Principal makes any land available to the Contractor, the Contractor acknowledges that this land may not be sufficient for all site facilities and it is the Contractor’s responsibility to source additional land if required.</w:t>
      </w:r>
    </w:p>
    <w:p w14:paraId="44C76282" w14:textId="77777777" w:rsidR="00213A2C" w:rsidRPr="00B927A4" w:rsidRDefault="00213A2C" w:rsidP="00727A11">
      <w:pPr>
        <w:pStyle w:val="Paragraph"/>
      </w:pPr>
      <w:r w:rsidRPr="00B927A4">
        <w:t>All electrical installations and alterations must be carried out by an electrical worker who is licensed in South Australia to perform any electrical works.  The installations must comply with AS 3000 and the Service Rules and Conditions of Supply of SA Power Networks.</w:t>
      </w:r>
    </w:p>
    <w:p w14:paraId="13FBF4BB" w14:textId="77777777" w:rsidR="00213A2C" w:rsidRDefault="00213A2C" w:rsidP="00727A11">
      <w:pPr>
        <w:pStyle w:val="Paragraph"/>
      </w:pPr>
      <w:r w:rsidRPr="00B927A4">
        <w:t>The Contractor must arrange for Certificates of Compliance of all electrical work and must submit copies of certification to the Principal.</w:t>
      </w:r>
    </w:p>
    <w:p w14:paraId="6BAEC85B" w14:textId="72BFCF9E" w:rsidR="00235DA8" w:rsidRPr="00B927A4" w:rsidRDefault="00235DA8" w:rsidP="00727A11">
      <w:pPr>
        <w:pStyle w:val="Paragraph"/>
      </w:pPr>
      <w:r>
        <w:t xml:space="preserve">Provision of the </w:t>
      </w:r>
      <w:r w:rsidRPr="00B927A4">
        <w:t>Certificates of Compliance of electrical work</w:t>
      </w:r>
      <w:r>
        <w:t xml:space="preserve"> shall consitute a </w:t>
      </w:r>
      <w:r w:rsidRPr="00235DA8">
        <w:rPr>
          <w:b/>
        </w:rPr>
        <w:t>HOLD POINT</w:t>
      </w:r>
      <w:r>
        <w:t>.</w:t>
      </w:r>
    </w:p>
    <w:p w14:paraId="0377D327" w14:textId="77777777" w:rsidR="006C1110" w:rsidRDefault="00213A2C" w:rsidP="00727A11">
      <w:pPr>
        <w:pStyle w:val="Paragraph"/>
      </w:pPr>
      <w:r w:rsidRPr="00B927A4">
        <w:t>The WHS Management Plan must include a plan of the site compound and any associated facilities showing how the Contractor will comply with</w:t>
      </w:r>
      <w:r w:rsidR="006C1110">
        <w:t>:</w:t>
      </w:r>
    </w:p>
    <w:p w14:paraId="4E68553A" w14:textId="12C58797" w:rsidR="006C1110" w:rsidRDefault="00213A2C" w:rsidP="00727A11">
      <w:pPr>
        <w:pStyle w:val="Sub-sub-paragraph"/>
        <w:tabs>
          <w:tab w:val="num" w:pos="1560"/>
        </w:tabs>
        <w:spacing w:before="120"/>
        <w:ind w:left="1559" w:hanging="425"/>
        <w:jc w:val="left"/>
      </w:pPr>
      <w:r w:rsidRPr="00B927A4">
        <w:t>Section 40 – Duty in Relation to General Workplace Facilities of the Work Health and Safety Regulations 2012 (SA)</w:t>
      </w:r>
      <w:r w:rsidR="006C1110">
        <w:t>;</w:t>
      </w:r>
      <w:r w:rsidRPr="00B927A4">
        <w:t xml:space="preserve"> and </w:t>
      </w:r>
    </w:p>
    <w:p w14:paraId="458AC8D9" w14:textId="3EEF6CAB" w:rsidR="00213A2C" w:rsidRPr="00B927A4" w:rsidRDefault="00213A2C" w:rsidP="00727A11">
      <w:pPr>
        <w:pStyle w:val="Sub-sub-paragraph"/>
        <w:tabs>
          <w:tab w:val="num" w:pos="1560"/>
        </w:tabs>
        <w:spacing w:before="120"/>
        <w:ind w:left="1559" w:hanging="425"/>
        <w:jc w:val="left"/>
      </w:pPr>
      <w:proofErr w:type="spellStart"/>
      <w:r w:rsidRPr="00B927A4">
        <w:t>Safework</w:t>
      </w:r>
      <w:proofErr w:type="spellEnd"/>
      <w:r w:rsidRPr="00B927A4">
        <w:t xml:space="preserve"> Australia Code of Practice for Managing the Work Environment and Facilities (available from: </w:t>
      </w:r>
      <w:hyperlink r:id="rId16" w:anchor=".VyABAIciNaS" w:history="1">
        <w:r w:rsidRPr="00B927A4">
          <w:rPr>
            <w:rStyle w:val="Hyperlink"/>
          </w:rPr>
          <w:t>http://www.safework.sa.gov.au/show_page.jsp?id=113704#.VyABAIciNaS</w:t>
        </w:r>
      </w:hyperlink>
      <w:r w:rsidRPr="00B927A4">
        <w:t>).</w:t>
      </w:r>
    </w:p>
    <w:p w14:paraId="006DEC8E" w14:textId="77777777" w:rsidR="00213A2C" w:rsidRPr="00B927A4" w:rsidRDefault="00213A2C" w:rsidP="00727A11">
      <w:pPr>
        <w:pStyle w:val="Paragraph"/>
      </w:pPr>
      <w:r w:rsidRPr="00B927A4">
        <w:t>At a minimum, the plan must show the general layout, buildings, emergency exits, egress and access points, fences, gates, power cables, paths (including surface treatment and delineation / separation of pedestrians / plant / vehicles), plant / vehicle parking, storage facilities and refuelling facilities in the site compound and any associated areas such as hazardous materials storage facilities.</w:t>
      </w:r>
    </w:p>
    <w:p w14:paraId="39ADD116" w14:textId="77777777" w:rsidR="00235DA8" w:rsidRPr="00213A2C" w:rsidRDefault="00235DA8" w:rsidP="00235DA8">
      <w:pPr>
        <w:pStyle w:val="Heading3"/>
        <w:jc w:val="left"/>
      </w:pPr>
      <w:bookmarkStart w:id="6" w:name="_Toc487788068"/>
      <w:r w:rsidRPr="00213A2C">
        <w:t>PROPRIETARY PRODUCTS</w:t>
      </w:r>
      <w:bookmarkEnd w:id="6"/>
    </w:p>
    <w:p w14:paraId="5C3AFC93" w14:textId="77777777" w:rsidR="00235DA8" w:rsidRPr="00B927A4" w:rsidRDefault="00235DA8" w:rsidP="00235DA8">
      <w:pPr>
        <w:pStyle w:val="Paragraph"/>
      </w:pPr>
      <w:r w:rsidRPr="00B927A4">
        <w:t>Where a proprietary product is specified in the Contract, that product must be used in accordance with the manufacturer's instructions unless specified otherwise.</w:t>
      </w:r>
    </w:p>
    <w:p w14:paraId="5DF88D76" w14:textId="77777777" w:rsidR="00235DA8" w:rsidRPr="00B927A4" w:rsidRDefault="00235DA8" w:rsidP="00235DA8">
      <w:pPr>
        <w:pStyle w:val="Paragraph"/>
      </w:pPr>
      <w:r w:rsidRPr="00B927A4">
        <w:t xml:space="preserve">Where work is specified to be carried out “in accordance with the manufacturer’s instructions", at least 2 working days prior to the use of the product, the Contractor must provide 2 copies of all relevant instructions and performance criteria provided by the manufacturer.  Provision of the instructions shall constitute a </w:t>
      </w:r>
      <w:r w:rsidRPr="00B927A4">
        <w:rPr>
          <w:b/>
        </w:rPr>
        <w:t>HOLD POINT</w:t>
      </w:r>
      <w:r w:rsidRPr="00B927A4">
        <w:t>.</w:t>
      </w:r>
    </w:p>
    <w:p w14:paraId="7810F589" w14:textId="77777777" w:rsidR="00235DA8" w:rsidRPr="00B927A4" w:rsidRDefault="00235DA8" w:rsidP="00235DA8">
      <w:pPr>
        <w:pStyle w:val="Paragraph"/>
      </w:pPr>
      <w:r w:rsidRPr="00B927A4">
        <w:t>Advertising markings and proprietary names of a permanent nature must not be applied to any component where these markings will be visible in the completed Works.</w:t>
      </w:r>
    </w:p>
    <w:p w14:paraId="3DA88500" w14:textId="77777777" w:rsidR="00235DA8" w:rsidRDefault="00235DA8" w:rsidP="00235DA8">
      <w:pPr>
        <w:pStyle w:val="Paragraph"/>
      </w:pPr>
      <w:r w:rsidRPr="00B927A4">
        <w:t xml:space="preserve">Alternatives to specified products </w:t>
      </w:r>
      <w:r>
        <w:t xml:space="preserve">(if any) </w:t>
      </w:r>
      <w:r w:rsidRPr="00B927A4">
        <w:t>will be considered provided that sufficient information is submitted to the P</w:t>
      </w:r>
      <w:r>
        <w:t>rincipal</w:t>
      </w:r>
      <w:r w:rsidRPr="00B927A4">
        <w:t xml:space="preserve">.  The Principal may approve or reject any proposed alternative product </w:t>
      </w:r>
      <w:r>
        <w:t xml:space="preserve">at its descretion </w:t>
      </w:r>
      <w:r w:rsidRPr="00B927A4">
        <w:t xml:space="preserve">and </w:t>
      </w:r>
      <w:r>
        <w:t>is</w:t>
      </w:r>
      <w:r w:rsidRPr="00B927A4">
        <w:t xml:space="preserve"> under no obligation to approve any such proposal for the convenience of, or to assist, the Contractor.</w:t>
      </w:r>
    </w:p>
    <w:p w14:paraId="05033123" w14:textId="77777777" w:rsidR="00235DA8" w:rsidRPr="00B927A4" w:rsidRDefault="00235DA8" w:rsidP="00235DA8">
      <w:pPr>
        <w:pStyle w:val="Paragraph"/>
      </w:pPr>
      <w:r>
        <w:t xml:space="preserve">Provision of a proposal to use an alternative product shall constitute a </w:t>
      </w:r>
      <w:r w:rsidRPr="000C3F1B">
        <w:rPr>
          <w:b/>
        </w:rPr>
        <w:t>HOLD POINT</w:t>
      </w:r>
      <w:r>
        <w:rPr>
          <w:b/>
        </w:rPr>
        <w:t>.</w:t>
      </w:r>
    </w:p>
    <w:p w14:paraId="4A1F3293" w14:textId="77777777" w:rsidR="00235DA8" w:rsidRPr="00213A2C" w:rsidRDefault="00235DA8" w:rsidP="00235DA8">
      <w:pPr>
        <w:pStyle w:val="Heading3"/>
        <w:jc w:val="left"/>
      </w:pPr>
      <w:bookmarkStart w:id="7" w:name="_Toc487788069"/>
      <w:r w:rsidRPr="00213A2C">
        <w:t>FLOODS AND WATERWAYS</w:t>
      </w:r>
      <w:bookmarkEnd w:id="7"/>
    </w:p>
    <w:p w14:paraId="29E41AD4" w14:textId="77777777" w:rsidR="00235DA8" w:rsidRPr="00B927A4" w:rsidRDefault="00235DA8" w:rsidP="00235DA8">
      <w:pPr>
        <w:pStyle w:val="Paragraph"/>
      </w:pPr>
      <w:r w:rsidRPr="00B927A4">
        <w:t>The Contractor:</w:t>
      </w:r>
    </w:p>
    <w:p w14:paraId="2EE6004C" w14:textId="77777777" w:rsidR="00235DA8" w:rsidRPr="00B927A4" w:rsidRDefault="00235DA8" w:rsidP="00235DA8">
      <w:pPr>
        <w:pStyle w:val="Sub-sub-paragraph"/>
        <w:tabs>
          <w:tab w:val="num" w:pos="1560"/>
        </w:tabs>
        <w:spacing w:before="120"/>
        <w:ind w:left="1559" w:hanging="425"/>
        <w:jc w:val="left"/>
      </w:pPr>
      <w:r w:rsidRPr="00B927A4">
        <w:t>unless specified otherwise, must not obstruct any waterway;</w:t>
      </w:r>
    </w:p>
    <w:p w14:paraId="48A62FD0" w14:textId="77777777" w:rsidR="00235DA8" w:rsidRPr="00B927A4" w:rsidRDefault="00235DA8" w:rsidP="00235DA8">
      <w:pPr>
        <w:pStyle w:val="Sub-sub-paragraph"/>
        <w:tabs>
          <w:tab w:val="num" w:pos="1560"/>
        </w:tabs>
        <w:spacing w:before="120"/>
        <w:ind w:left="1559" w:hanging="425"/>
        <w:jc w:val="left"/>
      </w:pPr>
      <w:r w:rsidRPr="00B927A4">
        <w:t>must take all necessary precautions to prevent heading up of floodwaters and / or damage to the Works or Site from the effects of water; and</w:t>
      </w:r>
    </w:p>
    <w:p w14:paraId="2A850DFD" w14:textId="77777777" w:rsidR="00235DA8" w:rsidRPr="00B927A4" w:rsidRDefault="00235DA8" w:rsidP="00235DA8">
      <w:pPr>
        <w:pStyle w:val="Sub-sub-paragraph"/>
        <w:tabs>
          <w:tab w:val="num" w:pos="1560"/>
        </w:tabs>
        <w:spacing w:before="120"/>
        <w:ind w:left="1559" w:hanging="425"/>
        <w:jc w:val="left"/>
      </w:pPr>
      <w:r w:rsidRPr="00B927A4">
        <w:t xml:space="preserve">assumes responsibility for the repair of any damage to the Works due to </w:t>
      </w:r>
      <w:r>
        <w:t xml:space="preserve">surface </w:t>
      </w:r>
      <w:r w:rsidRPr="00B927A4">
        <w:t>water and bears the cost of any such repair.</w:t>
      </w:r>
    </w:p>
    <w:p w14:paraId="52A96DDD" w14:textId="77777777" w:rsidR="00213A2C" w:rsidRPr="00213A2C" w:rsidRDefault="00213A2C" w:rsidP="00727A11">
      <w:pPr>
        <w:pStyle w:val="Heading3"/>
        <w:jc w:val="left"/>
      </w:pPr>
      <w:bookmarkStart w:id="8" w:name="_Toc487788070"/>
      <w:r w:rsidRPr="00213A2C">
        <w:t>PROTECTION OF THE WORKS AND REINSTATEMENT OF DAMAGE</w:t>
      </w:r>
      <w:bookmarkEnd w:id="8"/>
    </w:p>
    <w:p w14:paraId="274ED2D5" w14:textId="093F8912" w:rsidR="00213A2C" w:rsidRPr="00B927A4" w:rsidRDefault="00213A2C" w:rsidP="00727A11">
      <w:pPr>
        <w:pStyle w:val="Paragraph"/>
      </w:pPr>
      <w:r w:rsidRPr="00B927A4">
        <w:t>The Contractor must construct the works so to ensure that materials (including subgrade) do not become unsuitable or damaged by the Contractor’s work methods or insufficient protective measures.</w:t>
      </w:r>
      <w:r w:rsidR="00727A11">
        <w:t xml:space="preserve"> </w:t>
      </w:r>
      <w:r w:rsidRPr="00B927A4">
        <w:t>This includes:</w:t>
      </w:r>
    </w:p>
    <w:p w14:paraId="15FAEEA1" w14:textId="77777777" w:rsidR="00213A2C" w:rsidRPr="00B927A4" w:rsidRDefault="00213A2C" w:rsidP="00727A11">
      <w:pPr>
        <w:pStyle w:val="Sub-sub-paragraph"/>
        <w:tabs>
          <w:tab w:val="num" w:pos="1560"/>
        </w:tabs>
        <w:spacing w:before="120"/>
        <w:ind w:left="1559" w:hanging="425"/>
        <w:jc w:val="left"/>
      </w:pPr>
      <w:r w:rsidRPr="00B927A4">
        <w:t>constructing the works so as to be free draining; and</w:t>
      </w:r>
    </w:p>
    <w:p w14:paraId="56A14145" w14:textId="77777777" w:rsidR="00213A2C" w:rsidRPr="00B927A4" w:rsidRDefault="00213A2C" w:rsidP="00727A11">
      <w:pPr>
        <w:pStyle w:val="Sub-sub-paragraph"/>
        <w:tabs>
          <w:tab w:val="num" w:pos="1560"/>
        </w:tabs>
        <w:spacing w:before="120"/>
        <w:ind w:left="1559" w:hanging="425"/>
        <w:jc w:val="left"/>
      </w:pPr>
      <w:r w:rsidRPr="00B927A4">
        <w:t>maintaining the works so as to prevent deterioration in material properties between testing or acceptance of the work and subsequent work commencing.</w:t>
      </w:r>
    </w:p>
    <w:p w14:paraId="7873FF7D" w14:textId="77777777" w:rsidR="00213A2C" w:rsidRPr="00B927A4" w:rsidRDefault="00213A2C" w:rsidP="00727A11">
      <w:pPr>
        <w:pStyle w:val="Paragraph"/>
      </w:pPr>
      <w:r w:rsidRPr="00B927A4">
        <w:t>Additional payment will not be made where any additional work or additional materials are required:</w:t>
      </w:r>
    </w:p>
    <w:p w14:paraId="151D4DE9" w14:textId="77777777" w:rsidR="00213A2C" w:rsidRPr="00B927A4" w:rsidRDefault="00213A2C" w:rsidP="00727A11">
      <w:pPr>
        <w:pStyle w:val="Sub-sub-paragraph"/>
        <w:tabs>
          <w:tab w:val="num" w:pos="1560"/>
        </w:tabs>
        <w:spacing w:before="120"/>
        <w:ind w:left="1559" w:hanging="425"/>
        <w:jc w:val="left"/>
      </w:pPr>
      <w:r w:rsidRPr="00B927A4">
        <w:t>to comply with this Clause, or</w:t>
      </w:r>
    </w:p>
    <w:p w14:paraId="34FFD9B2" w14:textId="5A7D22F4" w:rsidR="00213A2C" w:rsidRPr="00B927A4" w:rsidRDefault="00213A2C" w:rsidP="00727A11">
      <w:pPr>
        <w:pStyle w:val="Sub-sub-paragraph"/>
        <w:tabs>
          <w:tab w:val="num" w:pos="1560"/>
        </w:tabs>
        <w:spacing w:before="120"/>
        <w:ind w:left="1559" w:hanging="425"/>
        <w:jc w:val="left"/>
      </w:pPr>
      <w:r w:rsidRPr="00B927A4">
        <w:t>as a result of the Contractor’s work methods.</w:t>
      </w:r>
    </w:p>
    <w:p w14:paraId="564F45C6" w14:textId="470C1B02" w:rsidR="00213A2C" w:rsidRPr="00B927A4" w:rsidRDefault="00213A2C" w:rsidP="00727A11">
      <w:pPr>
        <w:pStyle w:val="Paragraph"/>
      </w:pPr>
      <w:r w:rsidRPr="00B927A4">
        <w:t xml:space="preserve">Over-excavation (i.e. the Contractor excavates deeper or wider than the dimensions specified) is deemed to be included in </w:t>
      </w:r>
      <w:r w:rsidR="00727A11">
        <w:t xml:space="preserve">sub-clause 6.2 </w:t>
      </w:r>
      <w:r w:rsidRPr="00B927A4">
        <w:t>(b).</w:t>
      </w:r>
    </w:p>
    <w:p w14:paraId="3E1C037D" w14:textId="77777777" w:rsidR="00213A2C" w:rsidRPr="0023268C" w:rsidRDefault="00213A2C" w:rsidP="00727A11">
      <w:pPr>
        <w:pStyle w:val="Heading3"/>
        <w:jc w:val="left"/>
        <w:rPr>
          <w:b w:val="0"/>
          <w:bCs/>
        </w:rPr>
      </w:pPr>
      <w:bookmarkStart w:id="9" w:name="_Toc487788071"/>
      <w:r w:rsidRPr="00213A2C">
        <w:t>FIRE PREVENTION</w:t>
      </w:r>
      <w:bookmarkEnd w:id="9"/>
    </w:p>
    <w:p w14:paraId="523F6350" w14:textId="77777777" w:rsidR="00213A2C" w:rsidRPr="00B927A4" w:rsidRDefault="00213A2C" w:rsidP="00727A11">
      <w:pPr>
        <w:pStyle w:val="Paragraph"/>
      </w:pPr>
      <w:r w:rsidRPr="00B927A4">
        <w:t xml:space="preserve">The Contractor must comply with the </w:t>
      </w:r>
      <w:r w:rsidRPr="00B927A4">
        <w:rPr>
          <w:i/>
        </w:rPr>
        <w:t>Fire and Emergency Services Act 2005</w:t>
      </w:r>
      <w:r w:rsidRPr="00B927A4">
        <w:t xml:space="preserve"> (SA). If any of the work under Contract takes place during the Fire Danger Season, the Contractor’s Quality Plan, Environmental Management Plan or Work Health and Safety Management Plan must include procedures / instructions which address the following at a minimum:</w:t>
      </w:r>
    </w:p>
    <w:p w14:paraId="64D1D6D1" w14:textId="77777777" w:rsidR="00213A2C" w:rsidRPr="00B927A4" w:rsidRDefault="00213A2C" w:rsidP="00727A11">
      <w:pPr>
        <w:pStyle w:val="Sub-sub-paragraph"/>
        <w:tabs>
          <w:tab w:val="num" w:pos="1560"/>
        </w:tabs>
        <w:spacing w:before="120"/>
        <w:ind w:left="1559" w:hanging="425"/>
        <w:jc w:val="left"/>
      </w:pPr>
      <w:r w:rsidRPr="00B927A4">
        <w:t>training of personnel;</w:t>
      </w:r>
    </w:p>
    <w:p w14:paraId="612AF933" w14:textId="77777777" w:rsidR="00213A2C" w:rsidRPr="00B927A4" w:rsidRDefault="00213A2C" w:rsidP="00727A11">
      <w:pPr>
        <w:pStyle w:val="Sub-sub-paragraph"/>
        <w:tabs>
          <w:tab w:val="num" w:pos="1560"/>
        </w:tabs>
        <w:spacing w:before="120"/>
        <w:ind w:left="1559" w:hanging="425"/>
        <w:jc w:val="left"/>
      </w:pPr>
      <w:r w:rsidRPr="00B927A4">
        <w:t>monitoring the declaration of Total Fire Ban days;</w:t>
      </w:r>
    </w:p>
    <w:p w14:paraId="48A6FB3C" w14:textId="77777777" w:rsidR="00213A2C" w:rsidRPr="00B927A4" w:rsidRDefault="00213A2C" w:rsidP="00727A11">
      <w:pPr>
        <w:pStyle w:val="Sub-sub-paragraph"/>
        <w:tabs>
          <w:tab w:val="num" w:pos="1560"/>
        </w:tabs>
        <w:spacing w:before="120"/>
        <w:ind w:left="1559" w:hanging="425"/>
        <w:jc w:val="left"/>
      </w:pPr>
      <w:r w:rsidRPr="00B927A4">
        <w:t xml:space="preserve">liaising with the Country Fire Service, Metropolitan Fire Service and / or local council; </w:t>
      </w:r>
    </w:p>
    <w:p w14:paraId="4901013E" w14:textId="77777777" w:rsidR="00213A2C" w:rsidRPr="00B927A4" w:rsidRDefault="00213A2C" w:rsidP="00727A11">
      <w:pPr>
        <w:pStyle w:val="Sub-sub-paragraph"/>
        <w:tabs>
          <w:tab w:val="num" w:pos="1560"/>
        </w:tabs>
        <w:spacing w:before="120"/>
        <w:ind w:left="1559" w:hanging="425"/>
        <w:jc w:val="left"/>
      </w:pPr>
      <w:r w:rsidRPr="00B927A4">
        <w:t xml:space="preserve">applying for Schedule 10 permits if appropriate; </w:t>
      </w:r>
    </w:p>
    <w:p w14:paraId="46997633" w14:textId="77777777" w:rsidR="00213A2C" w:rsidRPr="00B927A4" w:rsidRDefault="00213A2C" w:rsidP="00727A11">
      <w:pPr>
        <w:pStyle w:val="Sub-sub-paragraph"/>
        <w:tabs>
          <w:tab w:val="num" w:pos="1560"/>
        </w:tabs>
        <w:spacing w:before="120"/>
        <w:ind w:left="1559" w:hanging="425"/>
        <w:jc w:val="left"/>
      </w:pPr>
      <w:r w:rsidRPr="00B927A4">
        <w:t xml:space="preserve">implementing measures to identify and mitigate fire hazards; </w:t>
      </w:r>
    </w:p>
    <w:p w14:paraId="085851BB" w14:textId="77777777" w:rsidR="00213A2C" w:rsidRPr="00B927A4" w:rsidRDefault="00213A2C" w:rsidP="00727A11">
      <w:pPr>
        <w:pStyle w:val="Sub-sub-paragraph"/>
        <w:tabs>
          <w:tab w:val="num" w:pos="1560"/>
        </w:tabs>
        <w:spacing w:before="120"/>
        <w:ind w:left="1559" w:hanging="425"/>
        <w:jc w:val="left"/>
      </w:pPr>
      <w:r w:rsidRPr="00B927A4">
        <w:t>working on Total Fire Ban days;</w:t>
      </w:r>
    </w:p>
    <w:p w14:paraId="3F44262F" w14:textId="77777777" w:rsidR="00213A2C" w:rsidRPr="00B927A4" w:rsidRDefault="00213A2C" w:rsidP="00727A11">
      <w:pPr>
        <w:pStyle w:val="Sub-sub-paragraph"/>
        <w:tabs>
          <w:tab w:val="num" w:pos="1560"/>
        </w:tabs>
        <w:spacing w:before="120"/>
        <w:ind w:left="1559" w:hanging="425"/>
        <w:jc w:val="left"/>
      </w:pPr>
      <w:r w:rsidRPr="00B927A4">
        <w:t xml:space="preserve">ensuring grinders, welders, chainsaws, grass trimmers, lawn mowers, slashers or similar equipment are only used in accordance with the requirements the </w:t>
      </w:r>
      <w:r w:rsidRPr="00C915B1">
        <w:t>Fire and Emergency Services Act</w:t>
      </w:r>
      <w:r w:rsidRPr="00B927A4">
        <w:t>;</w:t>
      </w:r>
    </w:p>
    <w:p w14:paraId="3479BC35" w14:textId="77777777" w:rsidR="00213A2C" w:rsidRPr="00B927A4" w:rsidRDefault="00213A2C" w:rsidP="00727A11">
      <w:pPr>
        <w:pStyle w:val="Sub-sub-paragraph"/>
        <w:tabs>
          <w:tab w:val="num" w:pos="1560"/>
        </w:tabs>
        <w:spacing w:before="120"/>
        <w:ind w:left="1559" w:hanging="425"/>
        <w:jc w:val="left"/>
      </w:pPr>
      <w:r w:rsidRPr="00B927A4">
        <w:t>emergency response in the event of a fire; and</w:t>
      </w:r>
    </w:p>
    <w:p w14:paraId="3D35FCA5" w14:textId="77777777" w:rsidR="00213A2C" w:rsidRPr="00B927A4" w:rsidRDefault="00213A2C" w:rsidP="00727A11">
      <w:pPr>
        <w:pStyle w:val="Sub-sub-paragraph"/>
        <w:tabs>
          <w:tab w:val="num" w:pos="1560"/>
        </w:tabs>
        <w:spacing w:before="120"/>
        <w:ind w:left="1559" w:hanging="425"/>
        <w:jc w:val="left"/>
      </w:pPr>
      <w:r w:rsidRPr="00B927A4">
        <w:t xml:space="preserve">all other relevant requirements the </w:t>
      </w:r>
      <w:r w:rsidRPr="00B927A4">
        <w:rPr>
          <w:i/>
        </w:rPr>
        <w:t>Fire and Emergency Services Act</w:t>
      </w:r>
      <w:r w:rsidRPr="00B927A4">
        <w:t>,</w:t>
      </w:r>
    </w:p>
    <w:p w14:paraId="7829634F" w14:textId="77777777" w:rsidR="00213A2C" w:rsidRPr="00B927A4" w:rsidRDefault="00213A2C" w:rsidP="00727A11">
      <w:pPr>
        <w:pStyle w:val="Paragraph"/>
      </w:pPr>
      <w:r w:rsidRPr="00B927A4">
        <w:t>The Contractor must:</w:t>
      </w:r>
    </w:p>
    <w:p w14:paraId="66D3D77E" w14:textId="77777777" w:rsidR="00213A2C" w:rsidRPr="00B927A4" w:rsidRDefault="00213A2C" w:rsidP="00727A11">
      <w:pPr>
        <w:pStyle w:val="Sub-sub-paragraph"/>
        <w:tabs>
          <w:tab w:val="num" w:pos="1560"/>
        </w:tabs>
        <w:spacing w:before="120"/>
        <w:ind w:left="1559" w:hanging="425"/>
        <w:jc w:val="left"/>
      </w:pPr>
      <w:r w:rsidRPr="00B927A4">
        <w:t>ensure that any vehicle driven off road has a compliant exhaust system;</w:t>
      </w:r>
    </w:p>
    <w:p w14:paraId="67FED81C" w14:textId="77777777" w:rsidR="00213A2C" w:rsidRPr="00B927A4" w:rsidRDefault="00213A2C" w:rsidP="00727A11">
      <w:pPr>
        <w:pStyle w:val="Sub-sub-paragraph"/>
        <w:tabs>
          <w:tab w:val="num" w:pos="1560"/>
        </w:tabs>
        <w:spacing w:before="120"/>
        <w:ind w:left="1559" w:hanging="425"/>
        <w:jc w:val="left"/>
      </w:pPr>
      <w:r w:rsidRPr="00B927A4">
        <w:t xml:space="preserve"> provide each work crew with appropriate extinguishers and fire fighting equipment on Site;</w:t>
      </w:r>
    </w:p>
    <w:p w14:paraId="36B5941F" w14:textId="77777777" w:rsidR="00213A2C" w:rsidRPr="00B927A4" w:rsidRDefault="00213A2C" w:rsidP="00727A11">
      <w:pPr>
        <w:pStyle w:val="Sub-sub-paragraph"/>
        <w:tabs>
          <w:tab w:val="num" w:pos="1560"/>
        </w:tabs>
        <w:spacing w:before="120"/>
        <w:ind w:left="1559" w:hanging="425"/>
        <w:jc w:val="left"/>
      </w:pPr>
      <w:r w:rsidRPr="00B927A4">
        <w:t>notify the Principal if it intends to work on days of high fire danger;</w:t>
      </w:r>
    </w:p>
    <w:p w14:paraId="6F003CF4" w14:textId="77777777" w:rsidR="00213A2C" w:rsidRPr="00B927A4" w:rsidRDefault="00213A2C" w:rsidP="00727A11">
      <w:pPr>
        <w:pStyle w:val="Sub-sub-paragraph"/>
        <w:tabs>
          <w:tab w:val="num" w:pos="1560"/>
        </w:tabs>
        <w:spacing w:before="120"/>
        <w:ind w:left="1559" w:hanging="425"/>
        <w:jc w:val="left"/>
      </w:pPr>
      <w:r w:rsidRPr="00B927A4">
        <w:t xml:space="preserve">provide the Principal with a copy of any Schedule 10 permit obtained for the work under the Contract; </w:t>
      </w:r>
    </w:p>
    <w:p w14:paraId="772F58B8" w14:textId="77777777" w:rsidR="00213A2C" w:rsidRPr="00B927A4" w:rsidRDefault="00213A2C" w:rsidP="00727A11">
      <w:pPr>
        <w:pStyle w:val="Sub-sub-paragraph"/>
        <w:tabs>
          <w:tab w:val="num" w:pos="1560"/>
        </w:tabs>
        <w:spacing w:before="120"/>
        <w:ind w:left="1559" w:hanging="425"/>
        <w:jc w:val="left"/>
      </w:pPr>
      <w:r w:rsidRPr="00B927A4">
        <w:t xml:space="preserve">ensure that any fire (where permitted under the Contract) complies with the requirements the </w:t>
      </w:r>
      <w:r w:rsidRPr="00C915B1">
        <w:t>Fire and Emergency Services Act</w:t>
      </w:r>
      <w:r w:rsidRPr="00B927A4">
        <w:t>; and</w:t>
      </w:r>
    </w:p>
    <w:p w14:paraId="6E6B8340" w14:textId="77777777" w:rsidR="00213A2C" w:rsidRPr="00B927A4" w:rsidRDefault="00213A2C" w:rsidP="00727A11">
      <w:pPr>
        <w:pStyle w:val="Sub-sub-paragraph"/>
        <w:tabs>
          <w:tab w:val="num" w:pos="1560"/>
        </w:tabs>
        <w:spacing w:before="120"/>
        <w:ind w:left="1559" w:hanging="425"/>
        <w:jc w:val="left"/>
      </w:pPr>
      <w:r w:rsidRPr="00C915B1">
        <w:t>immediately</w:t>
      </w:r>
      <w:r w:rsidRPr="00B927A4">
        <w:t xml:space="preserve"> notify the </w:t>
      </w:r>
      <w:r w:rsidRPr="00C915B1">
        <w:t>Principal</w:t>
      </w:r>
      <w:r w:rsidRPr="00B927A4">
        <w:rPr>
          <w:color w:val="000000"/>
        </w:rPr>
        <w:t xml:space="preserve"> in the event of any unplanned fire initiated at the Site.</w:t>
      </w:r>
    </w:p>
    <w:p w14:paraId="1B48709D" w14:textId="77777777" w:rsidR="00213A2C" w:rsidRPr="0023268C" w:rsidRDefault="00213A2C" w:rsidP="00727A11">
      <w:pPr>
        <w:pStyle w:val="Heading3"/>
        <w:jc w:val="left"/>
        <w:rPr>
          <w:b w:val="0"/>
          <w:bCs/>
        </w:rPr>
      </w:pPr>
      <w:bookmarkStart w:id="10" w:name="_Toc487788072"/>
      <w:r w:rsidRPr="00213A2C">
        <w:t>EXPLOSIVES</w:t>
      </w:r>
      <w:bookmarkEnd w:id="10"/>
    </w:p>
    <w:p w14:paraId="52CDE336" w14:textId="77777777" w:rsidR="00213A2C" w:rsidRPr="00B927A4" w:rsidRDefault="00213A2C" w:rsidP="00727A11">
      <w:pPr>
        <w:pStyle w:val="Paragraph"/>
      </w:pPr>
      <w:r w:rsidRPr="00B927A4">
        <w:t xml:space="preserve">Unless specified otherwise in the </w:t>
      </w:r>
      <w:r w:rsidRPr="00B927A4">
        <w:rPr>
          <w:b/>
        </w:rPr>
        <w:t>Contract Specific Requirements</w:t>
      </w:r>
      <w:r w:rsidRPr="00B927A4">
        <w:t>, the use of explosives is not permitted.</w:t>
      </w:r>
    </w:p>
    <w:p w14:paraId="712266A0" w14:textId="77777777" w:rsidR="00213A2C" w:rsidRPr="00B927A4" w:rsidRDefault="00213A2C" w:rsidP="00727A11">
      <w:pPr>
        <w:pStyle w:val="Paragraph"/>
      </w:pPr>
      <w:r w:rsidRPr="00B927A4">
        <w:t xml:space="preserve">If the use of explosives is permitted in the </w:t>
      </w:r>
      <w:r w:rsidRPr="00B927A4">
        <w:rPr>
          <w:b/>
        </w:rPr>
        <w:t>Contract Specific Requirements</w:t>
      </w:r>
      <w:r w:rsidRPr="00B927A4">
        <w:t xml:space="preserve">, the Contractor must: </w:t>
      </w:r>
    </w:p>
    <w:p w14:paraId="4FC80C73" w14:textId="77777777" w:rsidR="00213A2C" w:rsidRPr="00B927A4" w:rsidRDefault="00213A2C" w:rsidP="00727A11">
      <w:pPr>
        <w:pStyle w:val="Sub-sub-paragraph"/>
        <w:tabs>
          <w:tab w:val="num" w:pos="1560"/>
        </w:tabs>
        <w:spacing w:before="120"/>
        <w:ind w:left="1559" w:hanging="425"/>
        <w:jc w:val="left"/>
      </w:pPr>
      <w:r w:rsidRPr="00B927A4">
        <w:t>obtain the necessary licences from the appropriate authority;</w:t>
      </w:r>
    </w:p>
    <w:p w14:paraId="48926939" w14:textId="77777777" w:rsidR="00213A2C" w:rsidRPr="00B927A4" w:rsidRDefault="00213A2C" w:rsidP="00727A11">
      <w:pPr>
        <w:pStyle w:val="Sub-sub-paragraph"/>
        <w:tabs>
          <w:tab w:val="num" w:pos="1560"/>
        </w:tabs>
        <w:spacing w:before="120"/>
        <w:ind w:left="1559" w:hanging="425"/>
        <w:jc w:val="left"/>
      </w:pPr>
      <w:r w:rsidRPr="00B927A4">
        <w:t>conform to all Government regulations relating to the transport, handling, storage and use of explosives;</w:t>
      </w:r>
    </w:p>
    <w:p w14:paraId="33DB9A8E" w14:textId="77777777" w:rsidR="00213A2C" w:rsidRPr="00B927A4" w:rsidRDefault="00213A2C" w:rsidP="00727A11">
      <w:pPr>
        <w:pStyle w:val="Sub-sub-paragraph"/>
        <w:tabs>
          <w:tab w:val="num" w:pos="1560"/>
        </w:tabs>
        <w:spacing w:before="120"/>
        <w:ind w:left="1559" w:hanging="425"/>
        <w:jc w:val="left"/>
      </w:pPr>
      <w:r w:rsidRPr="00B927A4">
        <w:t>comply with the requirements and precautions set out in AS 2187, "Explosives - Storage, transport and use”;</w:t>
      </w:r>
    </w:p>
    <w:p w14:paraId="0AC5142E" w14:textId="77777777" w:rsidR="00213A2C" w:rsidRPr="00B927A4" w:rsidRDefault="00213A2C" w:rsidP="00727A11">
      <w:pPr>
        <w:pStyle w:val="Sub-sub-paragraph"/>
        <w:tabs>
          <w:tab w:val="num" w:pos="1560"/>
        </w:tabs>
        <w:spacing w:before="120"/>
        <w:ind w:left="1559" w:hanging="425"/>
        <w:jc w:val="left"/>
      </w:pPr>
      <w:r w:rsidRPr="00B927A4">
        <w:t>be liable for any accident, damage or injury to any person or thing resulting from the use of explosives;</w:t>
      </w:r>
    </w:p>
    <w:p w14:paraId="45A3CCFA" w14:textId="77777777" w:rsidR="00213A2C" w:rsidRPr="00B927A4" w:rsidRDefault="00213A2C" w:rsidP="00727A11">
      <w:pPr>
        <w:pStyle w:val="Sub-sub-paragraph"/>
        <w:tabs>
          <w:tab w:val="num" w:pos="1560"/>
        </w:tabs>
        <w:spacing w:before="120"/>
        <w:ind w:left="1559" w:hanging="425"/>
        <w:jc w:val="left"/>
      </w:pPr>
      <w:r w:rsidRPr="00B927A4">
        <w:t>adjust blasting operations in accordance with the characteristics and structure of the rock formation so as to obtain the specified slopes with a minimum disturbance and over-breakage;</w:t>
      </w:r>
    </w:p>
    <w:p w14:paraId="37FB695D" w14:textId="77777777" w:rsidR="00213A2C" w:rsidRPr="00B927A4" w:rsidRDefault="00213A2C" w:rsidP="00727A11">
      <w:pPr>
        <w:pStyle w:val="Sub-sub-paragraph"/>
        <w:tabs>
          <w:tab w:val="num" w:pos="1560"/>
        </w:tabs>
        <w:spacing w:before="120"/>
        <w:ind w:left="1559" w:hanging="425"/>
        <w:jc w:val="left"/>
      </w:pPr>
      <w:r w:rsidRPr="00B927A4">
        <w:t>ensure that over cutting of batters due to blasting operations is not be more than 1.0 m outside the specified line of the batter and the completed batter has a regular shape;</w:t>
      </w:r>
    </w:p>
    <w:p w14:paraId="4305E6C2" w14:textId="77777777" w:rsidR="00213A2C" w:rsidRPr="00B927A4" w:rsidRDefault="00213A2C" w:rsidP="00727A11">
      <w:pPr>
        <w:pStyle w:val="Sub-sub-paragraph"/>
        <w:tabs>
          <w:tab w:val="num" w:pos="1560"/>
        </w:tabs>
        <w:spacing w:before="120"/>
        <w:ind w:left="1559" w:hanging="425"/>
        <w:jc w:val="left"/>
      </w:pPr>
      <w:r w:rsidRPr="00B927A4">
        <w:t>ensure that when blasting operations are being carried out, traffic is stopped at a safe distance from the site of blasting, the sign "Blasting - Stop Await Signal" shown in AS 1742, Part 3, is erected at all approaches to traffic routes and a person is stationed at each sign to ensure that traffic is stopped;</w:t>
      </w:r>
    </w:p>
    <w:p w14:paraId="54726F60" w14:textId="77777777" w:rsidR="00213A2C" w:rsidRPr="00B927A4" w:rsidRDefault="00213A2C" w:rsidP="00727A11">
      <w:pPr>
        <w:pStyle w:val="Sub-sub-paragraph"/>
        <w:tabs>
          <w:tab w:val="num" w:pos="1560"/>
        </w:tabs>
        <w:spacing w:before="120"/>
        <w:ind w:left="1559" w:hanging="425"/>
        <w:jc w:val="left"/>
      </w:pPr>
      <w:r w:rsidRPr="00B927A4">
        <w:t>sound a warning prior to each firing; and</w:t>
      </w:r>
    </w:p>
    <w:p w14:paraId="452799FB" w14:textId="77777777" w:rsidR="00213A2C" w:rsidRPr="00B927A4" w:rsidRDefault="00213A2C" w:rsidP="00727A11">
      <w:pPr>
        <w:pStyle w:val="Sub-sub-paragraph"/>
        <w:tabs>
          <w:tab w:val="num" w:pos="1560"/>
        </w:tabs>
        <w:spacing w:before="120"/>
        <w:ind w:left="1559" w:hanging="425"/>
        <w:jc w:val="left"/>
      </w:pPr>
      <w:r w:rsidRPr="00B927A4">
        <w:t>give occupiers of adjoining properties at least 24 hours notice of the intention to blast.</w:t>
      </w:r>
    </w:p>
    <w:p w14:paraId="27362995" w14:textId="77777777" w:rsidR="00213A2C" w:rsidRPr="00213A2C" w:rsidRDefault="00213A2C" w:rsidP="00727A11">
      <w:pPr>
        <w:pStyle w:val="Heading3"/>
        <w:jc w:val="left"/>
      </w:pPr>
      <w:bookmarkStart w:id="11" w:name="_Toc487788073"/>
      <w:r w:rsidRPr="00213A2C">
        <w:t>VIBRATING COMPACTION EQUIPMENT</w:t>
      </w:r>
      <w:bookmarkEnd w:id="11"/>
    </w:p>
    <w:p w14:paraId="06E685A8" w14:textId="52F641F1" w:rsidR="00213A2C" w:rsidRPr="00B927A4" w:rsidRDefault="00213A2C" w:rsidP="00727A11">
      <w:pPr>
        <w:pStyle w:val="Paragraph"/>
      </w:pPr>
      <w:r w:rsidRPr="00B927A4">
        <w:t xml:space="preserve">Unless stated otherwise in the </w:t>
      </w:r>
      <w:r w:rsidRPr="00B927A4">
        <w:rPr>
          <w:b/>
          <w:bCs/>
        </w:rPr>
        <w:t>Contract Specific Requirements, t</w:t>
      </w:r>
      <w:r w:rsidRPr="00B927A4">
        <w:t>he use of vibrating compaction equipment must comply with Table 1</w:t>
      </w:r>
      <w:r w:rsidR="00235DA8">
        <w:t>1</w:t>
      </w:r>
      <w:r w:rsidRPr="00B927A4">
        <w:t>.</w:t>
      </w:r>
    </w:p>
    <w:p w14:paraId="54A2339B" w14:textId="77777777" w:rsidR="00213A2C" w:rsidRPr="00B927A4" w:rsidRDefault="00213A2C" w:rsidP="00727A11">
      <w:pPr>
        <w:jc w:val="left"/>
      </w:pPr>
    </w:p>
    <w:tbl>
      <w:tblPr>
        <w:tblW w:w="0" w:type="auto"/>
        <w:tblInd w:w="11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1"/>
        <w:gridCol w:w="3543"/>
      </w:tblGrid>
      <w:tr w:rsidR="00213A2C" w:rsidRPr="00B927A4" w14:paraId="768488E3" w14:textId="77777777" w:rsidTr="00235DA8">
        <w:tc>
          <w:tcPr>
            <w:tcW w:w="6804" w:type="dxa"/>
            <w:gridSpan w:val="2"/>
          </w:tcPr>
          <w:p w14:paraId="116BFAE3" w14:textId="33945773" w:rsidR="00213A2C" w:rsidRPr="00B927A4" w:rsidRDefault="00213A2C" w:rsidP="00107FDF">
            <w:pPr>
              <w:spacing w:before="120" w:after="120"/>
              <w:jc w:val="center"/>
              <w:rPr>
                <w:b/>
              </w:rPr>
            </w:pPr>
            <w:r w:rsidRPr="00B927A4">
              <w:rPr>
                <w:b/>
              </w:rPr>
              <w:t>TABLE 1</w:t>
            </w:r>
            <w:r w:rsidR="00301308">
              <w:rPr>
                <w:b/>
              </w:rPr>
              <w:t>1</w:t>
            </w:r>
            <w:r w:rsidR="00107FDF">
              <w:rPr>
                <w:b/>
              </w:rPr>
              <w:br/>
            </w:r>
            <w:r w:rsidRPr="00B927A4">
              <w:rPr>
                <w:b/>
              </w:rPr>
              <w:t>Maximum Permitted Centrifugal Force of Compaction Equipment</w:t>
            </w:r>
          </w:p>
        </w:tc>
      </w:tr>
      <w:tr w:rsidR="00213A2C" w:rsidRPr="00B927A4" w14:paraId="01FED279" w14:textId="77777777" w:rsidTr="00235DA8">
        <w:tc>
          <w:tcPr>
            <w:tcW w:w="3261" w:type="dxa"/>
          </w:tcPr>
          <w:p w14:paraId="55847608" w14:textId="77777777" w:rsidR="00213A2C" w:rsidRPr="00B927A4" w:rsidRDefault="00213A2C" w:rsidP="00727A11">
            <w:pPr>
              <w:spacing w:before="120" w:after="120"/>
              <w:jc w:val="left"/>
            </w:pPr>
            <w:r w:rsidRPr="00B927A4">
              <w:t>Asphalt on bridge decks:</w:t>
            </w:r>
          </w:p>
        </w:tc>
        <w:tc>
          <w:tcPr>
            <w:tcW w:w="3543" w:type="dxa"/>
          </w:tcPr>
          <w:p w14:paraId="55B0FDA0" w14:textId="77777777" w:rsidR="00213A2C" w:rsidRPr="00B927A4" w:rsidRDefault="00213A2C" w:rsidP="00727A11">
            <w:pPr>
              <w:spacing w:before="120" w:after="120"/>
              <w:jc w:val="left"/>
            </w:pPr>
            <w:r w:rsidRPr="00B927A4">
              <w:t>30 </w:t>
            </w:r>
            <w:proofErr w:type="spellStart"/>
            <w:r w:rsidRPr="00B927A4">
              <w:t>kN</w:t>
            </w:r>
            <w:proofErr w:type="spellEnd"/>
          </w:p>
        </w:tc>
      </w:tr>
      <w:tr w:rsidR="00213A2C" w:rsidRPr="00B927A4" w14:paraId="69EAE59E" w14:textId="77777777" w:rsidTr="00235DA8">
        <w:tc>
          <w:tcPr>
            <w:tcW w:w="3261" w:type="dxa"/>
          </w:tcPr>
          <w:p w14:paraId="27DD1C4A" w14:textId="77777777" w:rsidR="00213A2C" w:rsidRPr="00B927A4" w:rsidRDefault="00213A2C" w:rsidP="00727A11">
            <w:pPr>
              <w:spacing w:before="120" w:after="120"/>
              <w:jc w:val="left"/>
            </w:pPr>
            <w:r w:rsidRPr="00B927A4">
              <w:t>Asphalt not on bridge decks:</w:t>
            </w:r>
          </w:p>
        </w:tc>
        <w:tc>
          <w:tcPr>
            <w:tcW w:w="3543" w:type="dxa"/>
          </w:tcPr>
          <w:p w14:paraId="6892FC6E" w14:textId="77777777" w:rsidR="00213A2C" w:rsidRPr="00B927A4" w:rsidRDefault="00213A2C" w:rsidP="00727A11">
            <w:pPr>
              <w:spacing w:before="120" w:after="120"/>
              <w:jc w:val="left"/>
            </w:pPr>
            <w:r w:rsidRPr="00B927A4">
              <w:t>No maximum</w:t>
            </w:r>
          </w:p>
        </w:tc>
      </w:tr>
      <w:tr w:rsidR="00213A2C" w:rsidRPr="00B927A4" w14:paraId="4856C6F2" w14:textId="77777777" w:rsidTr="00235DA8">
        <w:tc>
          <w:tcPr>
            <w:tcW w:w="3261" w:type="dxa"/>
          </w:tcPr>
          <w:p w14:paraId="7377E08C" w14:textId="77777777" w:rsidR="00213A2C" w:rsidRPr="00B927A4" w:rsidRDefault="00213A2C" w:rsidP="00727A11">
            <w:pPr>
              <w:spacing w:before="120" w:after="120"/>
              <w:jc w:val="left"/>
            </w:pPr>
            <w:r w:rsidRPr="00B927A4">
              <w:t>Work other than asphalt:</w:t>
            </w:r>
          </w:p>
        </w:tc>
        <w:tc>
          <w:tcPr>
            <w:tcW w:w="3543" w:type="dxa"/>
          </w:tcPr>
          <w:p w14:paraId="58EE4841" w14:textId="77777777" w:rsidR="00213A2C" w:rsidRPr="00B927A4" w:rsidRDefault="00213A2C" w:rsidP="00727A11">
            <w:pPr>
              <w:spacing w:before="120" w:after="120"/>
              <w:jc w:val="left"/>
            </w:pPr>
            <w:r w:rsidRPr="00B927A4">
              <w:t>30 </w:t>
            </w:r>
            <w:proofErr w:type="spellStart"/>
            <w:r w:rsidRPr="00B927A4">
              <w:t>kN</w:t>
            </w:r>
            <w:proofErr w:type="spellEnd"/>
          </w:p>
        </w:tc>
      </w:tr>
    </w:tbl>
    <w:p w14:paraId="0BDCED25" w14:textId="77777777" w:rsidR="00213A2C" w:rsidRPr="0023268C" w:rsidRDefault="00213A2C" w:rsidP="00727A11">
      <w:pPr>
        <w:pStyle w:val="Heading3"/>
        <w:jc w:val="left"/>
        <w:rPr>
          <w:b w:val="0"/>
          <w:bCs/>
        </w:rPr>
      </w:pPr>
      <w:bookmarkStart w:id="12" w:name="_Toc487788074"/>
      <w:r w:rsidRPr="00213A2C">
        <w:t>CONTROL OF FENCES AND GATES</w:t>
      </w:r>
      <w:bookmarkEnd w:id="12"/>
    </w:p>
    <w:p w14:paraId="670E860A" w14:textId="77777777" w:rsidR="00213A2C" w:rsidRPr="00B927A4" w:rsidRDefault="00213A2C" w:rsidP="00727A11">
      <w:pPr>
        <w:pStyle w:val="Paragraph"/>
      </w:pPr>
      <w:r w:rsidRPr="00B927A4">
        <w:t>The Contractor must maintain all fences affected by the Works in a condition equivalent to that existing at the Date of Acceptance of Tender for the duration of the Contract.  Any temporary fences, gates and grids must be removed upon completion of the Works.</w:t>
      </w:r>
    </w:p>
    <w:p w14:paraId="2E423A3C" w14:textId="77777777" w:rsidR="00213A2C" w:rsidRPr="00213A2C" w:rsidRDefault="00213A2C" w:rsidP="00727A11">
      <w:pPr>
        <w:pStyle w:val="Heading3"/>
        <w:jc w:val="left"/>
      </w:pPr>
      <w:bookmarkStart w:id="13" w:name="_Toc487788075"/>
      <w:r w:rsidRPr="00213A2C">
        <w:t>CLEARANCES FROM LANDHOLDERS</w:t>
      </w:r>
      <w:bookmarkEnd w:id="13"/>
    </w:p>
    <w:p w14:paraId="28FE8FDC" w14:textId="77777777" w:rsidR="00213A2C" w:rsidRPr="00B927A4" w:rsidRDefault="00213A2C" w:rsidP="00727A11">
      <w:pPr>
        <w:pStyle w:val="Paragraph"/>
      </w:pPr>
      <w:r w:rsidRPr="00B927A4">
        <w:t>If any of the Contractor’s work is undertaken on adjoining private land, or affects private land, the Contractor must use its best endeavours to obtain a written statement that the landholder’s property has been left in a satisfactory condition from each affected landholder.</w:t>
      </w:r>
    </w:p>
    <w:p w14:paraId="15779ED9" w14:textId="77777777" w:rsidR="00213A2C" w:rsidRPr="00213A2C" w:rsidRDefault="00213A2C" w:rsidP="00727A11">
      <w:pPr>
        <w:pStyle w:val="Heading3"/>
        <w:jc w:val="left"/>
      </w:pPr>
      <w:bookmarkStart w:id="14" w:name="_Toc487788076"/>
      <w:r w:rsidRPr="00213A2C">
        <w:t>MATERIALS</w:t>
      </w:r>
      <w:bookmarkEnd w:id="14"/>
    </w:p>
    <w:p w14:paraId="3C8118B8" w14:textId="77777777" w:rsidR="00213A2C" w:rsidRPr="00C915B1" w:rsidRDefault="00213A2C" w:rsidP="00727A11">
      <w:pPr>
        <w:pStyle w:val="Heading4"/>
        <w:jc w:val="left"/>
      </w:pPr>
      <w:r w:rsidRPr="00C915B1">
        <w:t>Materials Supplied by the Principal</w:t>
      </w:r>
    </w:p>
    <w:p w14:paraId="63D2C275" w14:textId="77777777" w:rsidR="00107FDF" w:rsidRDefault="00213A2C" w:rsidP="00727A11">
      <w:pPr>
        <w:pStyle w:val="Paragraph"/>
      </w:pPr>
      <w:r w:rsidRPr="00B927A4">
        <w:t xml:space="preserve">If materials are to be supplied by the Principal, the Contractor must, in the presence of the Principal, inspect for conformance all items supplied by the Principal. </w:t>
      </w:r>
    </w:p>
    <w:p w14:paraId="2E8AFAEC" w14:textId="277B0182" w:rsidR="00213A2C" w:rsidRPr="00B927A4" w:rsidRDefault="00213A2C" w:rsidP="00727A11">
      <w:pPr>
        <w:pStyle w:val="Paragraph"/>
      </w:pPr>
      <w:r w:rsidRPr="00B927A4">
        <w:t>The Contractor must issue the Principal with a receipt for these items and shall thereafter be responsible for their care. All other materials must be supplied by the Contractor.</w:t>
      </w:r>
    </w:p>
    <w:p w14:paraId="4F5E9FA0" w14:textId="77777777" w:rsidR="00213A2C" w:rsidRPr="00C915B1" w:rsidRDefault="00213A2C" w:rsidP="00727A11">
      <w:pPr>
        <w:pStyle w:val="Heading4"/>
        <w:jc w:val="left"/>
      </w:pPr>
      <w:r w:rsidRPr="00C915B1">
        <w:t>Road Making Materials</w:t>
      </w:r>
    </w:p>
    <w:p w14:paraId="3E2A810A" w14:textId="77777777" w:rsidR="00213A2C" w:rsidRPr="00B927A4" w:rsidRDefault="00213A2C" w:rsidP="00727A11">
      <w:pPr>
        <w:pStyle w:val="Paragraph"/>
      </w:pPr>
      <w:r w:rsidRPr="00B927A4">
        <w:t>Any material listed in the Contract with a prefix of SP, RB, PM, SPM and Sa must comply with Part R15 "Supply of Pavement Materials".</w:t>
      </w:r>
    </w:p>
    <w:p w14:paraId="7EA0A337" w14:textId="77777777" w:rsidR="00213A2C" w:rsidRPr="00B927A4" w:rsidRDefault="00213A2C" w:rsidP="00727A11">
      <w:pPr>
        <w:pStyle w:val="Paragraph"/>
      </w:pPr>
      <w:r w:rsidRPr="00B927A4">
        <w:t>Road making materials from two or more sources must not be mixed on site.  Where road making materials from two or more sources are to be used on site the different materials must be used in clearly definable separate sections of work to allow material testing to be carried out for each material.</w:t>
      </w:r>
    </w:p>
    <w:p w14:paraId="382BF834" w14:textId="77777777" w:rsidR="00213A2C" w:rsidRPr="00C915B1" w:rsidRDefault="00213A2C" w:rsidP="00727A11">
      <w:pPr>
        <w:pStyle w:val="Heading4"/>
        <w:jc w:val="left"/>
      </w:pPr>
      <w:r w:rsidRPr="00C915B1">
        <w:t>Water</w:t>
      </w:r>
    </w:p>
    <w:p w14:paraId="1B1C9DEB" w14:textId="77777777" w:rsidR="00213A2C" w:rsidRPr="00B927A4" w:rsidRDefault="00213A2C" w:rsidP="00727A11">
      <w:pPr>
        <w:pStyle w:val="Paragraph"/>
      </w:pPr>
      <w:r w:rsidRPr="00B927A4">
        <w:t xml:space="preserve">Water for construction, when not sourced from a SA Water pipeline, must comply with any requirements in the </w:t>
      </w:r>
      <w:r w:rsidRPr="00B927A4">
        <w:rPr>
          <w:b/>
          <w:bCs/>
        </w:rPr>
        <w:t>Contract Specific Requirements</w:t>
      </w:r>
      <w:r w:rsidRPr="00B927A4">
        <w:t xml:space="preserve"> and the following requirements:</w:t>
      </w:r>
    </w:p>
    <w:p w14:paraId="33E2FDE3" w14:textId="77777777" w:rsidR="00213A2C" w:rsidRPr="00B927A4" w:rsidRDefault="00213A2C" w:rsidP="00727A11">
      <w:pPr>
        <w:pStyle w:val="Sub-sub-paragraph"/>
        <w:tabs>
          <w:tab w:val="num" w:pos="1560"/>
        </w:tabs>
        <w:spacing w:before="120"/>
        <w:ind w:left="1559" w:hanging="425"/>
        <w:jc w:val="left"/>
      </w:pPr>
      <w:r w:rsidRPr="00B927A4">
        <w:t xml:space="preserve">Unless specified otherwise in the </w:t>
      </w:r>
      <w:r w:rsidRPr="00B927A4">
        <w:rPr>
          <w:b/>
          <w:bCs/>
        </w:rPr>
        <w:t>Contract Specific Requirements</w:t>
      </w:r>
      <w:r w:rsidRPr="00B927A4">
        <w:t xml:space="preserve">, water for pavement construction must not contain more than 10 000 ppm total dissolved salts for base and 20 000 ppm for other pavement layers. The salt content must be determined using </w:t>
      </w:r>
      <w:proofErr w:type="spellStart"/>
      <w:r w:rsidRPr="00B927A4">
        <w:t>TP</w:t>
      </w:r>
      <w:proofErr w:type="spellEnd"/>
      <w:r w:rsidRPr="00B927A4">
        <w:t> 751.  The testing frequency must be one test immediately prior to commencement of construction and thereafter every 2 weeks until completion of pavement construction.</w:t>
      </w:r>
    </w:p>
    <w:p w14:paraId="2632CC2D" w14:textId="77777777" w:rsidR="00213A2C" w:rsidRPr="00B927A4" w:rsidRDefault="00213A2C" w:rsidP="00C915B1">
      <w:pPr>
        <w:pStyle w:val="Sub-sub-paragraph"/>
        <w:tabs>
          <w:tab w:val="num" w:pos="1560"/>
        </w:tabs>
        <w:spacing w:before="120"/>
        <w:ind w:left="1559" w:hanging="425"/>
        <w:jc w:val="left"/>
      </w:pPr>
      <w:r w:rsidRPr="00B927A4">
        <w:t>Water for concrete production must not contain more than:</w:t>
      </w:r>
    </w:p>
    <w:p w14:paraId="05CFA49B" w14:textId="77777777" w:rsidR="00213A2C" w:rsidRPr="00B927A4" w:rsidRDefault="00213A2C" w:rsidP="00107FDF">
      <w:pPr>
        <w:numPr>
          <w:ilvl w:val="0"/>
          <w:numId w:val="10"/>
        </w:numPr>
        <w:tabs>
          <w:tab w:val="num" w:pos="1701"/>
        </w:tabs>
        <w:spacing w:before="120" w:after="0"/>
        <w:ind w:left="2268" w:hanging="589"/>
        <w:jc w:val="left"/>
      </w:pPr>
      <w:r w:rsidRPr="00B927A4">
        <w:t>3 000 mg/l total dissolved salts;</w:t>
      </w:r>
    </w:p>
    <w:p w14:paraId="09EA8203" w14:textId="77777777" w:rsidR="00213A2C" w:rsidRPr="00B927A4" w:rsidRDefault="00213A2C" w:rsidP="00107FDF">
      <w:pPr>
        <w:numPr>
          <w:ilvl w:val="0"/>
          <w:numId w:val="10"/>
        </w:numPr>
        <w:tabs>
          <w:tab w:val="num" w:pos="1701"/>
        </w:tabs>
        <w:spacing w:before="120" w:after="0"/>
        <w:ind w:left="2268" w:hanging="589"/>
        <w:jc w:val="left"/>
      </w:pPr>
      <w:r w:rsidRPr="00B927A4">
        <w:t>1 000 mg/l chlorides; and</w:t>
      </w:r>
    </w:p>
    <w:p w14:paraId="048A6D4F" w14:textId="77777777" w:rsidR="00213A2C" w:rsidRPr="00B927A4" w:rsidRDefault="00213A2C" w:rsidP="00107FDF">
      <w:pPr>
        <w:numPr>
          <w:ilvl w:val="0"/>
          <w:numId w:val="10"/>
        </w:numPr>
        <w:tabs>
          <w:tab w:val="num" w:pos="1701"/>
        </w:tabs>
        <w:spacing w:before="120" w:after="0"/>
        <w:ind w:left="2268" w:hanging="589"/>
        <w:jc w:val="left"/>
      </w:pPr>
      <w:r w:rsidRPr="00B927A4">
        <w:t>500 mg/l sulphates.</w:t>
      </w:r>
    </w:p>
    <w:p w14:paraId="2BB6BD23" w14:textId="77777777" w:rsidR="00213A2C" w:rsidRPr="00213A2C" w:rsidRDefault="00213A2C" w:rsidP="00213A2C">
      <w:pPr>
        <w:pStyle w:val="Heading3"/>
        <w:jc w:val="left"/>
      </w:pPr>
      <w:bookmarkStart w:id="15" w:name="_Toc487788077"/>
      <w:r w:rsidRPr="0023268C">
        <w:t>WEIGHING</w:t>
      </w:r>
      <w:r w:rsidRPr="00213A2C">
        <w:t xml:space="preserve"> OF MATERIAL</w:t>
      </w:r>
      <w:bookmarkEnd w:id="15"/>
    </w:p>
    <w:p w14:paraId="5B9680CE" w14:textId="77777777" w:rsidR="00213A2C" w:rsidRPr="00B927A4" w:rsidRDefault="00213A2C" w:rsidP="00301308">
      <w:pPr>
        <w:pStyle w:val="Paragraph"/>
      </w:pPr>
      <w:r w:rsidRPr="00B927A4">
        <w:t>This Clause 15 only applies if separate payment is to be made per ton for materials.</w:t>
      </w:r>
    </w:p>
    <w:p w14:paraId="7EE8E0A9" w14:textId="77777777" w:rsidR="00213A2C" w:rsidRPr="00C915B1" w:rsidRDefault="00213A2C" w:rsidP="00C915B1">
      <w:pPr>
        <w:pStyle w:val="Heading4"/>
        <w:jc w:val="left"/>
      </w:pPr>
      <w:r w:rsidRPr="00C915B1">
        <w:t>Weighing of Materials</w:t>
      </w:r>
    </w:p>
    <w:p w14:paraId="59A57165" w14:textId="77777777" w:rsidR="00213A2C" w:rsidRPr="00B927A4" w:rsidRDefault="00213A2C" w:rsidP="00C915B1">
      <w:pPr>
        <w:pStyle w:val="Paragraph"/>
      </w:pPr>
      <w:r w:rsidRPr="00B927A4">
        <w:t>The Contractor must weigh all materials that are to be paid for separately at either a licensed weighbridge or on a weighing device supplied by the Contractor.</w:t>
      </w:r>
    </w:p>
    <w:p w14:paraId="74CC7822" w14:textId="77777777" w:rsidR="00213A2C" w:rsidRPr="00C915B1" w:rsidRDefault="00213A2C" w:rsidP="00C915B1">
      <w:pPr>
        <w:pStyle w:val="Heading4"/>
        <w:jc w:val="left"/>
      </w:pPr>
      <w:r w:rsidRPr="00C915B1">
        <w:t>Method of Measurement</w:t>
      </w:r>
    </w:p>
    <w:p w14:paraId="4E450D57" w14:textId="77777777" w:rsidR="00213A2C" w:rsidRPr="00B927A4" w:rsidRDefault="00213A2C" w:rsidP="00C915B1">
      <w:pPr>
        <w:pStyle w:val="Paragraph"/>
      </w:pPr>
      <w:r w:rsidRPr="00B927A4">
        <w:t>The Contractor must provide standard forms for each load that is weighed and advise the Principal of the format of the proposed forms prior to the commencement of weighing.  Vehicles using the weighing devices must be tared daily.</w:t>
      </w:r>
    </w:p>
    <w:p w14:paraId="6CCB35CD" w14:textId="77777777" w:rsidR="00213A2C" w:rsidRPr="00B927A4" w:rsidRDefault="00213A2C" w:rsidP="00C915B1">
      <w:pPr>
        <w:pStyle w:val="Paragraph"/>
      </w:pPr>
      <w:r w:rsidRPr="00B927A4">
        <w:t>Should the weighbridge or weighing device become inoperative or is recording incorrectly, the Contractor must immediately propose an alternative method of weight measurement and must not proceed until the method has been accepted by the Principal.</w:t>
      </w:r>
    </w:p>
    <w:p w14:paraId="78813B04" w14:textId="77777777" w:rsidR="00213A2C" w:rsidRPr="00C915B1" w:rsidRDefault="00213A2C" w:rsidP="00C915B1">
      <w:pPr>
        <w:pStyle w:val="Heading4"/>
        <w:jc w:val="left"/>
      </w:pPr>
      <w:r w:rsidRPr="00C915B1">
        <w:t>Payment by Dry Mass</w:t>
      </w:r>
    </w:p>
    <w:p w14:paraId="7E5FEBF3" w14:textId="77777777" w:rsidR="00213A2C" w:rsidRPr="00B927A4" w:rsidRDefault="00213A2C" w:rsidP="00C915B1">
      <w:pPr>
        <w:pStyle w:val="Paragraph"/>
      </w:pPr>
      <w:r w:rsidRPr="00B927A4">
        <w:t>Payment will be made on the basis of the dry mass of material delivered.  The adjustment for moisture content must be made daily in accordance with the following formula:</w:t>
      </w:r>
    </w:p>
    <w:p w14:paraId="0369610B" w14:textId="574B416F" w:rsidR="00213A2C" w:rsidRPr="00B927A4" w:rsidRDefault="00213A2C" w:rsidP="00735936">
      <w:pPr>
        <w:spacing w:before="120"/>
        <w:ind w:left="1843"/>
        <w:jc w:val="left"/>
      </w:pPr>
      <w:r w:rsidRPr="00B927A4">
        <w:t xml:space="preserve">Corrected (dry) mass   =   </w:t>
      </w:r>
      <w:r w:rsidRPr="00B927A4">
        <w:tab/>
      </w:r>
      <w:r w:rsidRPr="00B927A4">
        <w:rPr>
          <w:u w:val="single"/>
        </w:rPr>
        <w:t>A x 100</w:t>
      </w:r>
      <w:r w:rsidR="00107FDF">
        <w:rPr>
          <w:u w:val="single"/>
        </w:rPr>
        <w:br/>
      </w:r>
      <w:r w:rsidRPr="00B927A4">
        <w:tab/>
      </w:r>
      <w:r w:rsidRPr="00B927A4">
        <w:tab/>
      </w:r>
      <w:r w:rsidRPr="00B927A4">
        <w:tab/>
      </w:r>
      <w:r w:rsidR="00735936">
        <w:tab/>
      </w:r>
      <w:r w:rsidRPr="00B927A4">
        <w:t>B + 100</w:t>
      </w:r>
    </w:p>
    <w:p w14:paraId="7CBC8F6D" w14:textId="77777777" w:rsidR="00213A2C" w:rsidRPr="00B927A4" w:rsidRDefault="00213A2C" w:rsidP="006F285F">
      <w:pPr>
        <w:tabs>
          <w:tab w:val="left" w:pos="2552"/>
        </w:tabs>
        <w:spacing w:before="120"/>
        <w:ind w:left="3544" w:hanging="1701"/>
        <w:jc w:val="left"/>
      </w:pPr>
      <w:r w:rsidRPr="00B927A4">
        <w:t>where</w:t>
      </w:r>
      <w:r w:rsidRPr="00B927A4">
        <w:tab/>
        <w:t>A   =</w:t>
      </w:r>
      <w:r w:rsidRPr="00B927A4">
        <w:tab/>
        <w:t>number of tonnes of wet material for the day as measured by the weighbridge.</w:t>
      </w:r>
    </w:p>
    <w:p w14:paraId="68D73DC9" w14:textId="76245E76" w:rsidR="00213A2C" w:rsidRPr="00B927A4" w:rsidRDefault="00213A2C" w:rsidP="006F285F">
      <w:pPr>
        <w:spacing w:before="120"/>
        <w:ind w:left="3544" w:hanging="992"/>
        <w:jc w:val="left"/>
      </w:pPr>
      <w:r w:rsidRPr="00B927A4">
        <w:t>B   =</w:t>
      </w:r>
      <w:r w:rsidRPr="00B927A4">
        <w:tab/>
        <w:t>average moisture content for the same day.</w:t>
      </w:r>
    </w:p>
    <w:p w14:paraId="246A2528" w14:textId="77777777" w:rsidR="00213A2C" w:rsidRPr="00B927A4" w:rsidRDefault="00213A2C" w:rsidP="00C915B1">
      <w:pPr>
        <w:pStyle w:val="Paragraph"/>
      </w:pPr>
      <w:r w:rsidRPr="00B927A4">
        <w:t>The Contractor must supply NATA certified test results for moisture content determined in accordance with AS 1289 2.1.1 from 5 samples taken from delivery vehicles at a regular time interval over a normal working day.  For delivery of materials over periods of less than a normal working day the Contractor must take moisture samples at intervals of no greater than one hour for the determination of moisture content.</w:t>
      </w:r>
    </w:p>
    <w:p w14:paraId="4B66C1CC" w14:textId="77777777" w:rsidR="00213A2C" w:rsidRPr="00C915B1" w:rsidRDefault="00213A2C" w:rsidP="00C915B1">
      <w:pPr>
        <w:pStyle w:val="Heading4"/>
        <w:jc w:val="left"/>
      </w:pPr>
      <w:r w:rsidRPr="00C915B1">
        <w:t>Weighing Device Supplied by the Contractor</w:t>
      </w:r>
    </w:p>
    <w:p w14:paraId="7BBE7B8A" w14:textId="77777777" w:rsidR="00213A2C" w:rsidRPr="00B927A4" w:rsidRDefault="00213A2C" w:rsidP="00C915B1">
      <w:pPr>
        <w:pStyle w:val="Paragraph"/>
      </w:pPr>
      <w:r w:rsidRPr="00B927A4">
        <w:t>Should the Contractor elect to install a weighing device, prior acceptance of the device and its operation must be obtained from the Principal before its use.</w:t>
      </w:r>
    </w:p>
    <w:p w14:paraId="04901DAE" w14:textId="77777777" w:rsidR="00213A2C" w:rsidRPr="00B927A4" w:rsidRDefault="00213A2C" w:rsidP="00C915B1">
      <w:pPr>
        <w:pStyle w:val="Paragraph"/>
      </w:pPr>
      <w:r w:rsidRPr="00B927A4">
        <w:t>As part of the Contractor’s Quality Plan the following must be addressed:</w:t>
      </w:r>
    </w:p>
    <w:p w14:paraId="27CF50D0" w14:textId="77777777" w:rsidR="00213A2C" w:rsidRPr="00B927A4" w:rsidRDefault="00213A2C" w:rsidP="00C915B1">
      <w:pPr>
        <w:pStyle w:val="Sub-sub-paragraph"/>
        <w:tabs>
          <w:tab w:val="num" w:pos="1560"/>
        </w:tabs>
        <w:spacing w:before="120"/>
        <w:ind w:left="1559" w:hanging="425"/>
        <w:jc w:val="left"/>
      </w:pPr>
      <w:r w:rsidRPr="00B927A4">
        <w:t>evidence that the accuracy of the device is within ± 3% of a total vehicle mass weighed; and</w:t>
      </w:r>
    </w:p>
    <w:p w14:paraId="575C02AB" w14:textId="77777777" w:rsidR="00213A2C" w:rsidRPr="00B927A4" w:rsidRDefault="00213A2C" w:rsidP="00C915B1">
      <w:pPr>
        <w:pStyle w:val="Sub-sub-paragraph"/>
        <w:tabs>
          <w:tab w:val="num" w:pos="1560"/>
        </w:tabs>
        <w:spacing w:before="120"/>
        <w:ind w:left="1559" w:hanging="425"/>
        <w:jc w:val="left"/>
      </w:pPr>
      <w:r w:rsidRPr="00B927A4">
        <w:t>procedures for operation, calibration and continuing monitoring of accuracy of the device.</w:t>
      </w:r>
    </w:p>
    <w:p w14:paraId="3303FD15" w14:textId="77777777" w:rsidR="00213A2C" w:rsidRPr="00B927A4" w:rsidRDefault="00213A2C" w:rsidP="00C915B1">
      <w:pPr>
        <w:pStyle w:val="Paragraph"/>
      </w:pPr>
      <w:r w:rsidRPr="00B927A4">
        <w:t>The machine must be capable of producing automatically printed dockets for each vehicle weighed and cumulative masses of each product weighed. The Contractor must calibrate this device weekly by comparison of the mass of a loaded truck at a licensed weighbridge.  The Contractor must provide a loaded truck for this purpose at no cost to the Principal.</w:t>
      </w:r>
    </w:p>
    <w:p w14:paraId="0E6EC66A" w14:textId="77777777" w:rsidR="00213A2C" w:rsidRPr="00213A2C" w:rsidRDefault="00213A2C" w:rsidP="00213A2C">
      <w:pPr>
        <w:pStyle w:val="Heading3"/>
        <w:jc w:val="left"/>
      </w:pPr>
      <w:bookmarkStart w:id="16" w:name="_Toc487788078"/>
      <w:r w:rsidRPr="00213A2C">
        <w:t>HAULAGE OF MATERIALS</w:t>
      </w:r>
      <w:bookmarkEnd w:id="16"/>
    </w:p>
    <w:p w14:paraId="08C078E5" w14:textId="77777777" w:rsidR="00213A2C" w:rsidRPr="00B927A4" w:rsidRDefault="00213A2C" w:rsidP="00C915B1">
      <w:pPr>
        <w:pStyle w:val="Paragraph"/>
      </w:pPr>
      <w:r w:rsidRPr="00B927A4">
        <w:t>This Clause 16 only applies if separate payment is to be made for haulage of materials.</w:t>
      </w:r>
    </w:p>
    <w:p w14:paraId="5AEAB072" w14:textId="77777777" w:rsidR="00213A2C" w:rsidRPr="00B927A4" w:rsidRDefault="00213A2C" w:rsidP="00C915B1">
      <w:pPr>
        <w:pStyle w:val="Paragraph"/>
      </w:pPr>
      <w:r w:rsidRPr="00B927A4">
        <w:t>Where the Principal is to pay for haulage of material at rates per cubic metre/kilometre, the following conditions shall apply:</w:t>
      </w:r>
    </w:p>
    <w:p w14:paraId="787FFBA6" w14:textId="77777777" w:rsidR="00213A2C" w:rsidRPr="00B927A4" w:rsidRDefault="00213A2C" w:rsidP="00C915B1">
      <w:pPr>
        <w:pStyle w:val="Sub-sub-paragraph"/>
        <w:tabs>
          <w:tab w:val="num" w:pos="1560"/>
        </w:tabs>
        <w:spacing w:before="120"/>
        <w:ind w:left="1559" w:hanging="425"/>
        <w:jc w:val="left"/>
      </w:pPr>
      <w:r w:rsidRPr="00B927A4">
        <w:t xml:space="preserve">Truck volumes will be measured and checked by the Principal prior to any haulage and loads must be water levelled prior to the signing of any </w:t>
      </w:r>
      <w:proofErr w:type="spellStart"/>
      <w:r w:rsidRPr="00B927A4">
        <w:t>cartnotes</w:t>
      </w:r>
      <w:proofErr w:type="spellEnd"/>
      <w:r w:rsidRPr="00B927A4">
        <w:t>;</w:t>
      </w:r>
    </w:p>
    <w:p w14:paraId="60E60145" w14:textId="77777777" w:rsidR="00213A2C" w:rsidRPr="00B927A4" w:rsidRDefault="00213A2C" w:rsidP="00C915B1">
      <w:pPr>
        <w:pStyle w:val="Sub-sub-paragraph"/>
        <w:tabs>
          <w:tab w:val="num" w:pos="1560"/>
        </w:tabs>
        <w:spacing w:before="120"/>
        <w:ind w:left="1559" w:hanging="425"/>
        <w:jc w:val="left"/>
      </w:pPr>
      <w:r w:rsidRPr="00B927A4">
        <w:t>The rate for haulage must include loading;</w:t>
      </w:r>
    </w:p>
    <w:p w14:paraId="72CB988B" w14:textId="77777777" w:rsidR="00213A2C" w:rsidRPr="00B927A4" w:rsidRDefault="00213A2C" w:rsidP="00C915B1">
      <w:pPr>
        <w:pStyle w:val="Sub-sub-paragraph"/>
        <w:tabs>
          <w:tab w:val="num" w:pos="1560"/>
        </w:tabs>
        <w:spacing w:before="120"/>
        <w:ind w:left="1559" w:hanging="425"/>
        <w:jc w:val="left"/>
      </w:pPr>
      <w:r w:rsidRPr="00B927A4">
        <w:t xml:space="preserve">Payment will only be made on </w:t>
      </w:r>
      <w:proofErr w:type="spellStart"/>
      <w:r w:rsidRPr="00B927A4">
        <w:t>cartnotes</w:t>
      </w:r>
      <w:proofErr w:type="spellEnd"/>
      <w:r w:rsidRPr="00B927A4">
        <w:t xml:space="preserve"> / </w:t>
      </w:r>
      <w:proofErr w:type="spellStart"/>
      <w:r w:rsidRPr="00B927A4">
        <w:t>weighnotes</w:t>
      </w:r>
      <w:proofErr w:type="spellEnd"/>
      <w:r w:rsidRPr="00B927A4">
        <w:t xml:space="preserve"> signed by the Principal;</w:t>
      </w:r>
    </w:p>
    <w:p w14:paraId="07A7FC98" w14:textId="77777777" w:rsidR="00213A2C" w:rsidRPr="00B927A4" w:rsidRDefault="00213A2C" w:rsidP="00C915B1">
      <w:pPr>
        <w:pStyle w:val="Sub-sub-paragraph"/>
        <w:tabs>
          <w:tab w:val="num" w:pos="1560"/>
        </w:tabs>
        <w:spacing w:before="120"/>
        <w:ind w:left="1559" w:hanging="425"/>
        <w:jc w:val="left"/>
      </w:pPr>
      <w:r w:rsidRPr="00B927A4">
        <w:t>The haulage of fractional cubic metres of material will not be allowed and tray bodies must be marked with a solid painted white line to indicate water levels;</w:t>
      </w:r>
    </w:p>
    <w:p w14:paraId="5291FC81" w14:textId="77777777" w:rsidR="00213A2C" w:rsidRPr="00B927A4" w:rsidRDefault="00213A2C" w:rsidP="00C915B1">
      <w:pPr>
        <w:pStyle w:val="Sub-sub-paragraph"/>
        <w:tabs>
          <w:tab w:val="num" w:pos="1560"/>
        </w:tabs>
        <w:spacing w:before="120"/>
        <w:ind w:left="1559" w:hanging="425"/>
        <w:jc w:val="left"/>
      </w:pPr>
      <w:r w:rsidRPr="00B927A4">
        <w:t>Payment will be made for the loaded trip only and not for the round trip; and</w:t>
      </w:r>
    </w:p>
    <w:p w14:paraId="4590BDED" w14:textId="77777777" w:rsidR="00213A2C" w:rsidRPr="00B927A4" w:rsidRDefault="00213A2C" w:rsidP="00C915B1">
      <w:pPr>
        <w:pStyle w:val="Sub-sub-paragraph"/>
        <w:tabs>
          <w:tab w:val="num" w:pos="1560"/>
        </w:tabs>
        <w:spacing w:before="120"/>
        <w:ind w:left="1559" w:hanging="425"/>
        <w:jc w:val="left"/>
      </w:pPr>
      <w:r w:rsidRPr="00B927A4">
        <w:t>Where the length of the haul is not a whole number of kilometres payment will be made on the basis of the rate of the next whole number of kilometres.</w:t>
      </w:r>
    </w:p>
    <w:p w14:paraId="246DD181" w14:textId="77777777" w:rsidR="00213A2C" w:rsidRPr="00B927A4" w:rsidRDefault="00213A2C" w:rsidP="00C915B1">
      <w:pPr>
        <w:pStyle w:val="Paragraph"/>
      </w:pPr>
      <w:r w:rsidRPr="00B927A4">
        <w:t>Where the Principal is to pay for haulage of material at rates per ton/kilometre, conditions (c), (e) and (f) above shall apply.</w:t>
      </w:r>
    </w:p>
    <w:p w14:paraId="541F5484" w14:textId="77777777" w:rsidR="00213A2C" w:rsidRPr="00213A2C" w:rsidRDefault="00213A2C" w:rsidP="00213A2C">
      <w:pPr>
        <w:pStyle w:val="Heading3"/>
        <w:jc w:val="left"/>
      </w:pPr>
      <w:bookmarkStart w:id="17" w:name="_Toc487788079"/>
      <w:r w:rsidRPr="00213A2C">
        <w:t>TESTING</w:t>
      </w:r>
      <w:bookmarkEnd w:id="17"/>
    </w:p>
    <w:p w14:paraId="2AA7CA78" w14:textId="77777777" w:rsidR="00213A2C" w:rsidRPr="00C915B1" w:rsidRDefault="00213A2C" w:rsidP="00C915B1">
      <w:pPr>
        <w:pStyle w:val="Heading4"/>
        <w:jc w:val="left"/>
      </w:pPr>
      <w:r w:rsidRPr="00C915B1">
        <w:t>General</w:t>
      </w:r>
    </w:p>
    <w:p w14:paraId="17C6A8F0" w14:textId="77777777" w:rsidR="00213A2C" w:rsidRPr="00B927A4" w:rsidRDefault="00213A2C" w:rsidP="00C915B1">
      <w:pPr>
        <w:pStyle w:val="Paragraph"/>
      </w:pPr>
      <w:r w:rsidRPr="00B927A4">
        <w:t xml:space="preserve">The Contractor must use the Test Procedures listed in the Clause "Test Procedures" in each Part to verify conformance with the Specification.   The procedures must be those current at the date 14 days prior to the date of submission of tender. Test Procedures are available from: </w:t>
      </w:r>
      <w:hyperlink r:id="rId17" w:history="1">
        <w:r w:rsidRPr="00B927A4">
          <w:rPr>
            <w:rStyle w:val="Hyperlink"/>
          </w:rPr>
          <w:t>http://www.dpti.sa.gov.au/contractor_documents</w:t>
        </w:r>
      </w:hyperlink>
      <w:r w:rsidRPr="00B927A4">
        <w:t xml:space="preserve">. </w:t>
      </w:r>
    </w:p>
    <w:p w14:paraId="62B8C4EE" w14:textId="77777777" w:rsidR="00213A2C" w:rsidRPr="00C915B1" w:rsidRDefault="00213A2C" w:rsidP="00C915B1">
      <w:pPr>
        <w:pStyle w:val="Heading4"/>
        <w:jc w:val="left"/>
      </w:pPr>
      <w:r w:rsidRPr="00C915B1">
        <w:t>Compaction</w:t>
      </w:r>
    </w:p>
    <w:p w14:paraId="6567CC4E" w14:textId="77777777" w:rsidR="00213A2C" w:rsidRPr="00B927A4" w:rsidRDefault="00213A2C" w:rsidP="00C915B1">
      <w:pPr>
        <w:pStyle w:val="Paragraph"/>
      </w:pPr>
      <w:r w:rsidRPr="00B927A4">
        <w:t>Culvert bedding, all backfill and earthworks compaction acceptance must be considered on an absolute basis (and no single result shall be less than that specified).</w:t>
      </w:r>
    </w:p>
    <w:p w14:paraId="5A15B11D" w14:textId="77777777" w:rsidR="00213A2C" w:rsidRPr="00B927A4" w:rsidRDefault="00213A2C" w:rsidP="00301308">
      <w:pPr>
        <w:pStyle w:val="Paragraph"/>
      </w:pPr>
      <w:r w:rsidRPr="00B927A4">
        <w:t>For compaction acceptance on small pavement lots, acceptance shall be on an absolute basis.</w:t>
      </w:r>
    </w:p>
    <w:p w14:paraId="4D3EA33E" w14:textId="77777777" w:rsidR="00213A2C" w:rsidRPr="00C915B1" w:rsidRDefault="00213A2C" w:rsidP="00C915B1">
      <w:pPr>
        <w:pStyle w:val="Heading4"/>
        <w:jc w:val="left"/>
      </w:pPr>
      <w:r w:rsidRPr="00C915B1">
        <w:t>Clarification of Test Procedures</w:t>
      </w:r>
    </w:p>
    <w:p w14:paraId="77096014" w14:textId="77777777" w:rsidR="00213A2C" w:rsidRPr="00B927A4" w:rsidRDefault="00213A2C" w:rsidP="00301308">
      <w:pPr>
        <w:pStyle w:val="Sub-sub-paragraph"/>
        <w:tabs>
          <w:tab w:val="num" w:pos="1560"/>
        </w:tabs>
        <w:spacing w:before="120" w:after="240"/>
        <w:ind w:left="1559" w:hanging="425"/>
        <w:jc w:val="left"/>
      </w:pPr>
      <w:r w:rsidRPr="00B927A4">
        <w:t>Notwithstanding AS 1289.5.2.1 the following minimum curing time shall apply:</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672"/>
      </w:tblGrid>
      <w:tr w:rsidR="00213A2C" w:rsidRPr="00B927A4" w14:paraId="74B5BAC2" w14:textId="77777777" w:rsidTr="00301308">
        <w:tc>
          <w:tcPr>
            <w:tcW w:w="4820" w:type="dxa"/>
            <w:vAlign w:val="center"/>
          </w:tcPr>
          <w:p w14:paraId="53580114" w14:textId="77777777" w:rsidR="00213A2C" w:rsidRPr="00B927A4" w:rsidRDefault="00213A2C" w:rsidP="00213A2C">
            <w:pPr>
              <w:spacing w:before="60"/>
              <w:jc w:val="left"/>
            </w:pPr>
            <w:r w:rsidRPr="00B927A4">
              <w:t>Sand</w:t>
            </w:r>
          </w:p>
        </w:tc>
        <w:tc>
          <w:tcPr>
            <w:tcW w:w="1672" w:type="dxa"/>
            <w:vAlign w:val="center"/>
          </w:tcPr>
          <w:p w14:paraId="722E490F" w14:textId="77777777" w:rsidR="00213A2C" w:rsidRPr="00B927A4" w:rsidRDefault="00213A2C" w:rsidP="00213A2C">
            <w:pPr>
              <w:tabs>
                <w:tab w:val="left" w:pos="709"/>
              </w:tabs>
              <w:spacing w:before="60"/>
              <w:jc w:val="center"/>
            </w:pPr>
            <w:r w:rsidRPr="00B927A4">
              <w:t>2 hours.</w:t>
            </w:r>
          </w:p>
        </w:tc>
      </w:tr>
      <w:tr w:rsidR="00213A2C" w:rsidRPr="00B927A4" w14:paraId="43F179EF" w14:textId="77777777" w:rsidTr="00301308">
        <w:tc>
          <w:tcPr>
            <w:tcW w:w="4820" w:type="dxa"/>
            <w:vAlign w:val="center"/>
          </w:tcPr>
          <w:p w14:paraId="7ACA9D7C" w14:textId="77777777" w:rsidR="00213A2C" w:rsidRPr="00B927A4" w:rsidRDefault="00213A2C" w:rsidP="00213A2C">
            <w:pPr>
              <w:spacing w:before="60"/>
              <w:jc w:val="left"/>
            </w:pPr>
            <w:r w:rsidRPr="00B927A4">
              <w:t xml:space="preserve">Sand clays, clay sands, primary </w:t>
            </w:r>
            <w:proofErr w:type="spellStart"/>
            <w:r w:rsidRPr="00B927A4">
              <w:t>scalpings</w:t>
            </w:r>
            <w:proofErr w:type="spellEnd"/>
            <w:r w:rsidRPr="00B927A4">
              <w:t xml:space="preserve"> and crushed rock</w:t>
            </w:r>
          </w:p>
        </w:tc>
        <w:tc>
          <w:tcPr>
            <w:tcW w:w="1672" w:type="dxa"/>
            <w:vAlign w:val="center"/>
          </w:tcPr>
          <w:p w14:paraId="4A08855F" w14:textId="77777777" w:rsidR="00213A2C" w:rsidRPr="00B927A4" w:rsidRDefault="00213A2C" w:rsidP="00213A2C">
            <w:pPr>
              <w:tabs>
                <w:tab w:val="left" w:pos="709"/>
              </w:tabs>
              <w:spacing w:before="60"/>
              <w:jc w:val="center"/>
            </w:pPr>
            <w:r w:rsidRPr="00B927A4">
              <w:t>6 hours.</w:t>
            </w:r>
          </w:p>
        </w:tc>
      </w:tr>
      <w:tr w:rsidR="00213A2C" w:rsidRPr="00B927A4" w14:paraId="5BBE42A5" w14:textId="77777777" w:rsidTr="00301308">
        <w:tc>
          <w:tcPr>
            <w:tcW w:w="4820" w:type="dxa"/>
            <w:vAlign w:val="center"/>
          </w:tcPr>
          <w:p w14:paraId="21DF994C" w14:textId="77777777" w:rsidR="00213A2C" w:rsidRPr="00B927A4" w:rsidRDefault="00213A2C" w:rsidP="00213A2C">
            <w:pPr>
              <w:tabs>
                <w:tab w:val="left" w:pos="709"/>
              </w:tabs>
              <w:spacing w:before="60"/>
              <w:jc w:val="left"/>
            </w:pPr>
            <w:r w:rsidRPr="00B927A4">
              <w:t>Clays</w:t>
            </w:r>
          </w:p>
        </w:tc>
        <w:tc>
          <w:tcPr>
            <w:tcW w:w="1672" w:type="dxa"/>
            <w:vAlign w:val="center"/>
          </w:tcPr>
          <w:p w14:paraId="1A08B96D" w14:textId="77777777" w:rsidR="00213A2C" w:rsidRPr="00B927A4" w:rsidRDefault="00213A2C" w:rsidP="00213A2C">
            <w:pPr>
              <w:tabs>
                <w:tab w:val="left" w:pos="709"/>
              </w:tabs>
              <w:spacing w:before="60"/>
              <w:jc w:val="center"/>
            </w:pPr>
            <w:r w:rsidRPr="00B927A4">
              <w:t>24 hours.</w:t>
            </w:r>
          </w:p>
        </w:tc>
      </w:tr>
    </w:tbl>
    <w:p w14:paraId="2D0F88B0" w14:textId="77777777" w:rsidR="00213A2C" w:rsidRPr="00B927A4" w:rsidRDefault="00213A2C" w:rsidP="00C915B1">
      <w:pPr>
        <w:pStyle w:val="Sub-sub-paragraph"/>
        <w:tabs>
          <w:tab w:val="num" w:pos="1560"/>
        </w:tabs>
        <w:spacing w:before="120"/>
        <w:ind w:left="1559" w:hanging="425"/>
        <w:jc w:val="left"/>
      </w:pPr>
      <w:r w:rsidRPr="00B927A4">
        <w:t xml:space="preserve">For granular pavement courses, bulk samples for </w:t>
      </w:r>
      <w:proofErr w:type="spellStart"/>
      <w:r w:rsidRPr="00B927A4">
        <w:t>MDD</w:t>
      </w:r>
      <w:proofErr w:type="spellEnd"/>
      <w:r w:rsidRPr="00B927A4">
        <w:t xml:space="preserve"> determination must be taken prior to compaction.</w:t>
      </w:r>
    </w:p>
    <w:p w14:paraId="47FB8C1F" w14:textId="77777777" w:rsidR="00213A2C" w:rsidRPr="00B927A4" w:rsidRDefault="00213A2C" w:rsidP="00C915B1">
      <w:pPr>
        <w:pStyle w:val="Sub-sub-paragraph"/>
        <w:tabs>
          <w:tab w:val="num" w:pos="1560"/>
        </w:tabs>
        <w:spacing w:before="120"/>
        <w:ind w:left="1559" w:hanging="425"/>
        <w:jc w:val="left"/>
      </w:pPr>
      <w:r w:rsidRPr="00B927A4">
        <w:t xml:space="preserve">Notwithstanding </w:t>
      </w:r>
      <w:proofErr w:type="spellStart"/>
      <w:r w:rsidRPr="00B927A4">
        <w:t>TP</w:t>
      </w:r>
      <w:proofErr w:type="spellEnd"/>
      <w:r w:rsidRPr="00B927A4">
        <w:t> 166 the following shall apply:</w:t>
      </w:r>
    </w:p>
    <w:p w14:paraId="183B6658" w14:textId="77777777" w:rsidR="00213A2C" w:rsidRPr="00B927A4" w:rsidRDefault="00213A2C" w:rsidP="00C915B1">
      <w:pPr>
        <w:numPr>
          <w:ilvl w:val="0"/>
          <w:numId w:val="13"/>
        </w:numPr>
        <w:spacing w:before="120" w:after="0"/>
        <w:jc w:val="left"/>
      </w:pPr>
      <w:r w:rsidRPr="00B927A4">
        <w:t xml:space="preserve">The assigned </w:t>
      </w:r>
      <w:proofErr w:type="spellStart"/>
      <w:r w:rsidRPr="00B927A4">
        <w:t>MDD</w:t>
      </w:r>
      <w:proofErr w:type="spellEnd"/>
      <w:r w:rsidRPr="00B927A4">
        <w:t xml:space="preserve"> must be updated for each thousand tonnes of material produced.</w:t>
      </w:r>
    </w:p>
    <w:p w14:paraId="39D1F2B8" w14:textId="77777777" w:rsidR="00213A2C" w:rsidRPr="00B927A4" w:rsidRDefault="00213A2C" w:rsidP="00C915B1">
      <w:pPr>
        <w:numPr>
          <w:ilvl w:val="0"/>
          <w:numId w:val="13"/>
        </w:numPr>
        <w:spacing w:before="120" w:after="0"/>
        <w:jc w:val="left"/>
      </w:pPr>
      <w:r w:rsidRPr="00B927A4">
        <w:t>The technique and stage of construction selected for sampling the material for each pavement layer must not change during the course of the Contract.</w:t>
      </w:r>
    </w:p>
    <w:p w14:paraId="465951E3" w14:textId="77777777" w:rsidR="00213A2C" w:rsidRPr="00B927A4" w:rsidRDefault="00213A2C" w:rsidP="00C915B1">
      <w:pPr>
        <w:numPr>
          <w:ilvl w:val="0"/>
          <w:numId w:val="13"/>
        </w:numPr>
        <w:spacing w:before="120" w:after="0"/>
        <w:jc w:val="left"/>
      </w:pPr>
      <w:r w:rsidRPr="00B927A4">
        <w:t>Results must be displayed in graphical form.</w:t>
      </w:r>
    </w:p>
    <w:p w14:paraId="6BA75185" w14:textId="77777777" w:rsidR="00213A2C" w:rsidRPr="00B927A4" w:rsidRDefault="00213A2C" w:rsidP="00C915B1">
      <w:pPr>
        <w:pStyle w:val="Sub-sub-paragraph"/>
        <w:tabs>
          <w:tab w:val="num" w:pos="1560"/>
        </w:tabs>
        <w:spacing w:before="120"/>
        <w:ind w:left="1559" w:hanging="425"/>
        <w:jc w:val="left"/>
      </w:pPr>
      <w:r w:rsidRPr="00B927A4">
        <w:t>Notwithstanding AS 1289.1.4.2, random number generation methods, other than the Table of Random Numbers, may be used provided they are acceptable to the Principal.</w:t>
      </w:r>
    </w:p>
    <w:p w14:paraId="0CEF5647" w14:textId="77777777" w:rsidR="00213A2C" w:rsidRPr="00B927A4" w:rsidRDefault="00213A2C" w:rsidP="00C915B1">
      <w:pPr>
        <w:pStyle w:val="Sub-sub-paragraph"/>
        <w:tabs>
          <w:tab w:val="num" w:pos="1560"/>
        </w:tabs>
        <w:spacing w:before="120"/>
        <w:ind w:left="1559" w:hanging="425"/>
        <w:jc w:val="left"/>
      </w:pPr>
      <w:r w:rsidRPr="00B927A4">
        <w:t xml:space="preserve">Notwithstanding </w:t>
      </w:r>
      <w:proofErr w:type="spellStart"/>
      <w:r w:rsidRPr="00B927A4">
        <w:t>TP</w:t>
      </w:r>
      <w:proofErr w:type="spellEnd"/>
      <w:r w:rsidRPr="00B927A4">
        <w:t> 226, one bulk sample must be taken per lot and the bulk sample must consist of five increments except where the lot is terminated unexpectedly.</w:t>
      </w:r>
    </w:p>
    <w:p w14:paraId="54CD981D" w14:textId="77777777" w:rsidR="00213A2C" w:rsidRPr="00B927A4" w:rsidRDefault="00213A2C" w:rsidP="00C915B1">
      <w:pPr>
        <w:pStyle w:val="Sub-sub-paragraph"/>
        <w:tabs>
          <w:tab w:val="num" w:pos="1560"/>
        </w:tabs>
        <w:spacing w:before="120"/>
        <w:ind w:left="1559" w:hanging="425"/>
        <w:jc w:val="left"/>
      </w:pPr>
      <w:r w:rsidRPr="00B927A4">
        <w:t xml:space="preserve">Notwithstanding </w:t>
      </w:r>
      <w:proofErr w:type="spellStart"/>
      <w:r w:rsidRPr="00B927A4">
        <w:t>TP</w:t>
      </w:r>
      <w:proofErr w:type="spellEnd"/>
      <w:r w:rsidRPr="00B927A4">
        <w:t xml:space="preserve"> 320 and </w:t>
      </w:r>
      <w:proofErr w:type="spellStart"/>
      <w:r w:rsidRPr="00B927A4">
        <w:t>TP</w:t>
      </w:r>
      <w:proofErr w:type="spellEnd"/>
      <w:r w:rsidRPr="00B927A4">
        <w:t xml:space="preserve"> 166, the </w:t>
      </w:r>
      <w:proofErr w:type="spellStart"/>
      <w:r w:rsidRPr="00B927A4">
        <w:t>MDD</w:t>
      </w:r>
      <w:proofErr w:type="spellEnd"/>
      <w:r w:rsidRPr="00B927A4">
        <w:t xml:space="preserve"> determined by the three point method (</w:t>
      </w:r>
      <w:proofErr w:type="spellStart"/>
      <w:r w:rsidRPr="00B927A4">
        <w:t>TP</w:t>
      </w:r>
      <w:proofErr w:type="spellEnd"/>
      <w:r w:rsidRPr="00B927A4">
        <w:t> 164) may be used to determine Dry Density Ratios in stabilised or earthworks materials.</w:t>
      </w:r>
    </w:p>
    <w:p w14:paraId="486168E5" w14:textId="77777777" w:rsidR="00213A2C" w:rsidRPr="00213A2C" w:rsidRDefault="00213A2C" w:rsidP="00213A2C">
      <w:pPr>
        <w:pStyle w:val="Heading3"/>
        <w:jc w:val="left"/>
      </w:pPr>
      <w:bookmarkStart w:id="18" w:name="_Toc487788080"/>
      <w:r w:rsidRPr="00213A2C">
        <w:t>MAINTENANCE OF EXISTING TRAFFICKED PAVEMENT</w:t>
      </w:r>
      <w:bookmarkEnd w:id="18"/>
    </w:p>
    <w:p w14:paraId="362DBAE5" w14:textId="77777777" w:rsidR="00A755B6" w:rsidRDefault="00A755B6" w:rsidP="00A755B6">
      <w:pPr>
        <w:pStyle w:val="Paragraph"/>
      </w:pPr>
      <w:r>
        <w:t xml:space="preserve">This clause applies if there is an </w:t>
      </w:r>
      <w:r w:rsidRPr="00B927A4">
        <w:t>existing trafficked pavement</w:t>
      </w:r>
      <w:r>
        <w:t xml:space="preserve"> within the Site.</w:t>
      </w:r>
    </w:p>
    <w:p w14:paraId="523CC6EC" w14:textId="77777777" w:rsidR="00213A2C" w:rsidRPr="00C915B1" w:rsidRDefault="00213A2C" w:rsidP="00C915B1">
      <w:pPr>
        <w:pStyle w:val="Heading4"/>
        <w:jc w:val="left"/>
      </w:pPr>
      <w:r w:rsidRPr="00C915B1">
        <w:t>Definitions</w:t>
      </w:r>
    </w:p>
    <w:p w14:paraId="4E68820E" w14:textId="77777777" w:rsidR="00213A2C" w:rsidRPr="00B927A4" w:rsidRDefault="00213A2C" w:rsidP="00C915B1">
      <w:pPr>
        <w:pStyle w:val="Paragraph"/>
      </w:pPr>
      <w:r w:rsidRPr="00B927A4">
        <w:rPr>
          <w:b/>
        </w:rPr>
        <w:t>"Maintenance Provider"</w:t>
      </w:r>
      <w:r w:rsidRPr="00B927A4">
        <w:t xml:space="preserve"> means an agent of the Principal</w:t>
      </w:r>
      <w:r>
        <w:t xml:space="preserve"> who undertakes maintenance of an</w:t>
      </w:r>
      <w:r w:rsidRPr="00B927A4">
        <w:t xml:space="preserve"> existing road.</w:t>
      </w:r>
    </w:p>
    <w:p w14:paraId="5F754781" w14:textId="77777777" w:rsidR="00213A2C" w:rsidRPr="00C915B1" w:rsidRDefault="00213A2C" w:rsidP="00C915B1">
      <w:pPr>
        <w:pStyle w:val="Heading4"/>
        <w:jc w:val="left"/>
      </w:pPr>
      <w:r w:rsidRPr="00C915B1">
        <w:t>Monitoring and Repair of Defects in the Existing Pavement</w:t>
      </w:r>
    </w:p>
    <w:p w14:paraId="43C03827" w14:textId="77777777" w:rsidR="00213A2C" w:rsidRPr="00B927A4" w:rsidRDefault="00213A2C" w:rsidP="00A755B6">
      <w:pPr>
        <w:pStyle w:val="Paragraph"/>
      </w:pPr>
      <w:r>
        <w:t>The</w:t>
      </w:r>
      <w:r w:rsidRPr="00B927A4">
        <w:t xml:space="preserve"> Contractor must:</w:t>
      </w:r>
    </w:p>
    <w:p w14:paraId="40371206" w14:textId="77777777" w:rsidR="00213A2C" w:rsidRPr="00B927A4" w:rsidRDefault="00213A2C" w:rsidP="00C915B1">
      <w:pPr>
        <w:pStyle w:val="Sub-sub-paragraph"/>
        <w:tabs>
          <w:tab w:val="num" w:pos="1560"/>
        </w:tabs>
        <w:spacing w:before="120"/>
        <w:ind w:left="1559" w:hanging="425"/>
        <w:jc w:val="left"/>
      </w:pPr>
      <w:r w:rsidRPr="00B927A4">
        <w:t xml:space="preserve">regularly monitor the condition of any existing trafficked pavement and identify any defect that exceeds the DPTI intervention levels, as defined in the </w:t>
      </w:r>
      <w:r w:rsidRPr="00B927A4">
        <w:rPr>
          <w:b/>
          <w:bCs/>
        </w:rPr>
        <w:t>Contract Specific Requirements</w:t>
      </w:r>
      <w:r w:rsidRPr="00B927A4">
        <w:t>"; and</w:t>
      </w:r>
    </w:p>
    <w:p w14:paraId="1BBB5290" w14:textId="77777777" w:rsidR="00213A2C" w:rsidRPr="00B927A4" w:rsidRDefault="00213A2C" w:rsidP="00C915B1">
      <w:pPr>
        <w:pStyle w:val="Sub-sub-paragraph"/>
        <w:tabs>
          <w:tab w:val="num" w:pos="1560"/>
        </w:tabs>
        <w:spacing w:before="120"/>
        <w:ind w:left="1559" w:hanging="425"/>
        <w:jc w:val="left"/>
      </w:pPr>
      <w:r w:rsidRPr="00B927A4">
        <w:t>regularly monitor the condition of any footpaths or walkways and identify any hazard to pedestrians.</w:t>
      </w:r>
    </w:p>
    <w:p w14:paraId="4F9D8356" w14:textId="77777777" w:rsidR="00213A2C" w:rsidRPr="00B927A4" w:rsidRDefault="00213A2C" w:rsidP="00C915B1">
      <w:pPr>
        <w:pStyle w:val="Paragraph"/>
      </w:pPr>
      <w:r w:rsidRPr="00B927A4">
        <w:t>In the event that the Contractor identifies any such defect or hazard, the Contractor must:</w:t>
      </w:r>
    </w:p>
    <w:p w14:paraId="68C44CE3" w14:textId="77777777" w:rsidR="00213A2C" w:rsidRPr="00B927A4" w:rsidRDefault="00213A2C" w:rsidP="00C915B1">
      <w:pPr>
        <w:pStyle w:val="Sub-sub-paragraph"/>
        <w:tabs>
          <w:tab w:val="num" w:pos="1560"/>
        </w:tabs>
        <w:spacing w:before="120"/>
        <w:ind w:left="1559" w:hanging="425"/>
        <w:jc w:val="left"/>
      </w:pPr>
      <w:r w:rsidRPr="00B927A4">
        <w:t>repair the defect or hazard or defect immediately if the hazard or defect is a result of the Contractor’s activities; or</w:t>
      </w:r>
    </w:p>
    <w:p w14:paraId="4DC687B7" w14:textId="77777777" w:rsidR="00213A2C" w:rsidRPr="00B927A4" w:rsidRDefault="00213A2C" w:rsidP="00C915B1">
      <w:pPr>
        <w:pStyle w:val="Sub-sub-paragraph"/>
        <w:tabs>
          <w:tab w:val="num" w:pos="1560"/>
        </w:tabs>
        <w:spacing w:before="120"/>
        <w:ind w:left="1559" w:hanging="425"/>
        <w:jc w:val="left"/>
      </w:pPr>
      <w:r w:rsidRPr="00B927A4">
        <w:t>notify the Principal immediately in writing if the hazard or defect is not a result of the Contractor’s activities.</w:t>
      </w:r>
    </w:p>
    <w:p w14:paraId="13841941" w14:textId="77777777" w:rsidR="00A755B6" w:rsidRDefault="00213A2C" w:rsidP="00C915B1">
      <w:pPr>
        <w:pStyle w:val="Paragraph"/>
      </w:pPr>
      <w:r w:rsidRPr="00B927A4">
        <w:t xml:space="preserve">If the hazard or defect is not a result of the Contractor’s activities, the Principal may arrange for the defect to be repaired by the Maintenance Provider.  Except in emergency situations, the Principal will provide the Contractor with 2 days notice of the Maintenance Provider entering the site to undertake the repair(s). </w:t>
      </w:r>
    </w:p>
    <w:p w14:paraId="5064348B" w14:textId="3362727C" w:rsidR="00213A2C" w:rsidRPr="00B927A4" w:rsidRDefault="00213A2C" w:rsidP="00C915B1">
      <w:pPr>
        <w:pStyle w:val="Paragraph"/>
      </w:pPr>
      <w:r w:rsidRPr="00B927A4">
        <w:t xml:space="preserve">Prior to commencement of the repair, the Contractor must liaise with the Maintenance Provider to ensure that any </w:t>
      </w:r>
      <w:r w:rsidR="00107FDF" w:rsidRPr="00B927A4">
        <w:t xml:space="preserve">traffic control </w:t>
      </w:r>
      <w:r w:rsidRPr="00B927A4">
        <w:t>devices proposed by the Maintenance Provider do not conflict with the Contractor’s Traffic Control Plan.</w:t>
      </w:r>
    </w:p>
    <w:p w14:paraId="5DCA216D" w14:textId="77777777" w:rsidR="00213A2C" w:rsidRPr="00213A2C" w:rsidRDefault="00213A2C" w:rsidP="00213A2C">
      <w:pPr>
        <w:pStyle w:val="Heading3"/>
        <w:jc w:val="left"/>
      </w:pPr>
      <w:bookmarkStart w:id="19" w:name="_Toc487788081"/>
      <w:r w:rsidRPr="00213A2C">
        <w:t>MEASUREMENT</w:t>
      </w:r>
      <w:bookmarkEnd w:id="19"/>
    </w:p>
    <w:p w14:paraId="499CB583" w14:textId="77777777" w:rsidR="00213A2C" w:rsidRPr="00B927A4" w:rsidRDefault="00213A2C" w:rsidP="00C915B1">
      <w:pPr>
        <w:pStyle w:val="Paragraph"/>
      </w:pPr>
      <w:r w:rsidRPr="00B927A4">
        <w:t xml:space="preserve">If </w:t>
      </w:r>
      <w:r>
        <w:t xml:space="preserve">any </w:t>
      </w:r>
      <w:r w:rsidRPr="00B927A4">
        <w:t>payment is to be made by a Schedule of Rates, the method of measurement for items in the Schedule of Rates which have been defined by Lots must be determined by the aggregation of all conforming Lots.</w:t>
      </w:r>
    </w:p>
    <w:p w14:paraId="4F222D4A" w14:textId="77777777" w:rsidR="00213A2C" w:rsidRPr="00B927A4" w:rsidRDefault="00213A2C" w:rsidP="00C915B1">
      <w:pPr>
        <w:pStyle w:val="Paragraph"/>
      </w:pPr>
      <w:r w:rsidRPr="00B927A4">
        <w:t>Unless otherwise specified all measurements shall be net, any custom to the contrary notwithstanding.</w:t>
      </w:r>
    </w:p>
    <w:p w14:paraId="725ABAED" w14:textId="77777777" w:rsidR="00213A2C" w:rsidRPr="00213A2C" w:rsidRDefault="00213A2C" w:rsidP="00213A2C">
      <w:pPr>
        <w:pStyle w:val="Heading3"/>
        <w:jc w:val="left"/>
      </w:pPr>
      <w:bookmarkStart w:id="20" w:name="_Toc487788082"/>
      <w:r w:rsidRPr="00213A2C">
        <w:t>HOLD POINTS</w:t>
      </w:r>
      <w:bookmarkEnd w:id="20"/>
    </w:p>
    <w:p w14:paraId="377CF523" w14:textId="77777777" w:rsidR="00213A2C" w:rsidRPr="00B927A4" w:rsidRDefault="00213A2C" w:rsidP="00C915B1">
      <w:pPr>
        <w:pStyle w:val="Paragraph"/>
      </w:pPr>
      <w:r w:rsidRPr="00B927A4">
        <w:t>The following is a summary of Hold Points referenced in this Part:</w:t>
      </w:r>
    </w:p>
    <w:p w14:paraId="4FD51761" w14:textId="77777777" w:rsidR="00213A2C" w:rsidRPr="00B927A4" w:rsidRDefault="00213A2C" w:rsidP="00213A2C"/>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5953"/>
        <w:gridCol w:w="1843"/>
      </w:tblGrid>
      <w:tr w:rsidR="00213A2C" w:rsidRPr="00B927A4" w14:paraId="131DE7EE" w14:textId="77777777" w:rsidTr="00213A2C">
        <w:tc>
          <w:tcPr>
            <w:tcW w:w="1560" w:type="dxa"/>
            <w:vAlign w:val="center"/>
          </w:tcPr>
          <w:p w14:paraId="3CEED202" w14:textId="77777777" w:rsidR="00213A2C" w:rsidRPr="00A755B6" w:rsidRDefault="00213A2C" w:rsidP="00A755B6">
            <w:pPr>
              <w:spacing w:before="120" w:after="120"/>
              <w:jc w:val="center"/>
              <w:rPr>
                <w:b/>
                <w:bCs/>
              </w:rPr>
            </w:pPr>
            <w:r w:rsidRPr="00A755B6">
              <w:rPr>
                <w:b/>
                <w:bCs/>
              </w:rPr>
              <w:t>CLAUSE REF.</w:t>
            </w:r>
          </w:p>
        </w:tc>
        <w:tc>
          <w:tcPr>
            <w:tcW w:w="5953" w:type="dxa"/>
            <w:vAlign w:val="center"/>
          </w:tcPr>
          <w:p w14:paraId="30FB748A" w14:textId="77777777" w:rsidR="00213A2C" w:rsidRPr="00A755B6" w:rsidRDefault="00213A2C" w:rsidP="00A755B6">
            <w:pPr>
              <w:spacing w:before="120" w:after="120"/>
              <w:jc w:val="center"/>
              <w:rPr>
                <w:b/>
                <w:bCs/>
              </w:rPr>
            </w:pPr>
            <w:r w:rsidRPr="00A755B6">
              <w:rPr>
                <w:b/>
                <w:bCs/>
              </w:rPr>
              <w:t>HOLD POINT</w:t>
            </w:r>
          </w:p>
        </w:tc>
        <w:tc>
          <w:tcPr>
            <w:tcW w:w="1843" w:type="dxa"/>
            <w:vAlign w:val="center"/>
          </w:tcPr>
          <w:p w14:paraId="39B2957E" w14:textId="77777777" w:rsidR="00213A2C" w:rsidRPr="00A755B6" w:rsidRDefault="00213A2C" w:rsidP="00A755B6">
            <w:pPr>
              <w:spacing w:before="120" w:after="120"/>
              <w:jc w:val="center"/>
              <w:rPr>
                <w:b/>
                <w:bCs/>
              </w:rPr>
            </w:pPr>
            <w:r w:rsidRPr="00A755B6">
              <w:rPr>
                <w:b/>
                <w:bCs/>
              </w:rPr>
              <w:t>RESPONSE TIME</w:t>
            </w:r>
          </w:p>
        </w:tc>
      </w:tr>
      <w:tr w:rsidR="00213A2C" w:rsidRPr="00B927A4" w14:paraId="42779E98" w14:textId="77777777" w:rsidTr="00213A2C">
        <w:tc>
          <w:tcPr>
            <w:tcW w:w="1560" w:type="dxa"/>
            <w:vAlign w:val="center"/>
          </w:tcPr>
          <w:p w14:paraId="7D57512D" w14:textId="77777777" w:rsidR="00213A2C" w:rsidRPr="00B927A4" w:rsidRDefault="00213A2C" w:rsidP="00213A2C">
            <w:pPr>
              <w:spacing w:before="60"/>
              <w:jc w:val="center"/>
            </w:pPr>
            <w:r w:rsidRPr="00B927A4">
              <w:t>7.</w:t>
            </w:r>
          </w:p>
        </w:tc>
        <w:tc>
          <w:tcPr>
            <w:tcW w:w="5953" w:type="dxa"/>
            <w:vAlign w:val="center"/>
          </w:tcPr>
          <w:p w14:paraId="19D222A3" w14:textId="77777777" w:rsidR="00213A2C" w:rsidRPr="00B927A4" w:rsidRDefault="00213A2C" w:rsidP="00213A2C">
            <w:pPr>
              <w:spacing w:before="60"/>
            </w:pPr>
            <w:r w:rsidRPr="00B927A4">
              <w:rPr>
                <w:spacing w:val="-2"/>
              </w:rPr>
              <w:t>Manufacturer’s instructions</w:t>
            </w:r>
          </w:p>
        </w:tc>
        <w:tc>
          <w:tcPr>
            <w:tcW w:w="1843" w:type="dxa"/>
            <w:vAlign w:val="center"/>
          </w:tcPr>
          <w:p w14:paraId="2D878149" w14:textId="77777777" w:rsidR="00213A2C" w:rsidRPr="00B927A4" w:rsidRDefault="00213A2C" w:rsidP="00213A2C">
            <w:pPr>
              <w:spacing w:before="60"/>
              <w:jc w:val="center"/>
            </w:pPr>
            <w:r w:rsidRPr="00B927A4">
              <w:t>1 working day</w:t>
            </w:r>
          </w:p>
        </w:tc>
      </w:tr>
    </w:tbl>
    <w:p w14:paraId="1FCB7AE7" w14:textId="77777777" w:rsidR="00213A2C" w:rsidRPr="00213A2C" w:rsidRDefault="00213A2C" w:rsidP="00213A2C">
      <w:pPr>
        <w:pStyle w:val="Heading3"/>
        <w:jc w:val="left"/>
      </w:pPr>
      <w:bookmarkStart w:id="21" w:name="_Toc487788083"/>
      <w:r w:rsidRPr="00213A2C">
        <w:t>VERIFICATION REQUIREMENTS AND RECORDS</w:t>
      </w:r>
      <w:bookmarkEnd w:id="21"/>
    </w:p>
    <w:p w14:paraId="3A579DA3" w14:textId="77777777" w:rsidR="00213A2C" w:rsidRPr="00B927A4" w:rsidRDefault="00213A2C" w:rsidP="00C915B1">
      <w:pPr>
        <w:pStyle w:val="Paragraph"/>
      </w:pPr>
      <w:r w:rsidRPr="00B927A4">
        <w:t>The Contractor must supply the following documentation to demonstrate that the requirements of this Part have been complied with and where appropriate, supply the documentation with the lot package.</w:t>
      </w:r>
    </w:p>
    <w:p w14:paraId="4E47596B" w14:textId="77777777" w:rsidR="00213A2C" w:rsidRPr="00B927A4" w:rsidRDefault="00213A2C" w:rsidP="00213A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5528"/>
      </w:tblGrid>
      <w:tr w:rsidR="00213A2C" w:rsidRPr="00B927A4" w14:paraId="4F0B7540" w14:textId="77777777" w:rsidTr="00213A2C">
        <w:trPr>
          <w:tblHeader/>
        </w:trPr>
        <w:tc>
          <w:tcPr>
            <w:tcW w:w="1134" w:type="dxa"/>
            <w:tcBorders>
              <w:bottom w:val="single" w:sz="4" w:space="0" w:color="auto"/>
            </w:tcBorders>
            <w:vAlign w:val="center"/>
          </w:tcPr>
          <w:p w14:paraId="223E4A98" w14:textId="77777777" w:rsidR="00213A2C" w:rsidRPr="00B927A4" w:rsidRDefault="00213A2C" w:rsidP="00213A2C">
            <w:pPr>
              <w:spacing w:before="120" w:after="120"/>
              <w:jc w:val="center"/>
              <w:rPr>
                <w:b/>
                <w:bCs/>
              </w:rPr>
            </w:pPr>
            <w:r w:rsidRPr="00B927A4">
              <w:rPr>
                <w:b/>
                <w:bCs/>
              </w:rPr>
              <w:t>CLAUSE REF.</w:t>
            </w:r>
          </w:p>
        </w:tc>
        <w:tc>
          <w:tcPr>
            <w:tcW w:w="2694" w:type="dxa"/>
            <w:tcBorders>
              <w:bottom w:val="single" w:sz="4" w:space="0" w:color="auto"/>
            </w:tcBorders>
            <w:vAlign w:val="center"/>
          </w:tcPr>
          <w:p w14:paraId="4AC07233" w14:textId="77777777" w:rsidR="00213A2C" w:rsidRPr="00B927A4" w:rsidRDefault="00213A2C" w:rsidP="00213A2C">
            <w:pPr>
              <w:spacing w:before="120" w:after="120"/>
              <w:jc w:val="center"/>
              <w:rPr>
                <w:b/>
                <w:bCs/>
              </w:rPr>
            </w:pPr>
            <w:r w:rsidRPr="00B927A4">
              <w:rPr>
                <w:b/>
                <w:bCs/>
              </w:rPr>
              <w:t>SUBJECT</w:t>
            </w:r>
          </w:p>
        </w:tc>
        <w:tc>
          <w:tcPr>
            <w:tcW w:w="5528" w:type="dxa"/>
            <w:tcBorders>
              <w:bottom w:val="single" w:sz="4" w:space="0" w:color="auto"/>
            </w:tcBorders>
            <w:vAlign w:val="center"/>
          </w:tcPr>
          <w:p w14:paraId="53E9E538" w14:textId="77777777" w:rsidR="00213A2C" w:rsidRPr="00B927A4" w:rsidRDefault="00213A2C" w:rsidP="00213A2C">
            <w:pPr>
              <w:spacing w:before="120" w:after="120"/>
              <w:jc w:val="center"/>
              <w:rPr>
                <w:b/>
                <w:bCs/>
              </w:rPr>
            </w:pPr>
            <w:r w:rsidRPr="00B927A4">
              <w:rPr>
                <w:b/>
                <w:bCs/>
              </w:rPr>
              <w:t>RECORD TO BE PROVIDED</w:t>
            </w:r>
          </w:p>
        </w:tc>
      </w:tr>
      <w:tr w:rsidR="00213A2C" w:rsidRPr="00B927A4" w14:paraId="40AA21F5" w14:textId="77777777" w:rsidTr="00213A2C">
        <w:tc>
          <w:tcPr>
            <w:tcW w:w="1134" w:type="dxa"/>
            <w:tcBorders>
              <w:bottom w:val="single" w:sz="4" w:space="0" w:color="auto"/>
            </w:tcBorders>
            <w:vAlign w:val="center"/>
          </w:tcPr>
          <w:p w14:paraId="059E0546" w14:textId="77777777" w:rsidR="00213A2C" w:rsidRPr="00B927A4" w:rsidRDefault="00213A2C" w:rsidP="00213A2C">
            <w:pPr>
              <w:spacing w:before="60"/>
              <w:jc w:val="center"/>
            </w:pPr>
            <w:r w:rsidRPr="00B927A4">
              <w:t>4.</w:t>
            </w:r>
          </w:p>
        </w:tc>
        <w:tc>
          <w:tcPr>
            <w:tcW w:w="2694" w:type="dxa"/>
            <w:tcBorders>
              <w:bottom w:val="single" w:sz="4" w:space="0" w:color="auto"/>
            </w:tcBorders>
            <w:vAlign w:val="center"/>
          </w:tcPr>
          <w:p w14:paraId="1A3D0CEC" w14:textId="77777777" w:rsidR="00213A2C" w:rsidRPr="00B927A4" w:rsidRDefault="00213A2C" w:rsidP="00213A2C">
            <w:pPr>
              <w:spacing w:before="60"/>
              <w:jc w:val="left"/>
              <w:rPr>
                <w:bCs/>
                <w:color w:val="000000"/>
              </w:rPr>
            </w:pPr>
            <w:r w:rsidRPr="00B927A4">
              <w:rPr>
                <w:bCs/>
              </w:rPr>
              <w:t>Recording of Activities</w:t>
            </w:r>
          </w:p>
        </w:tc>
        <w:tc>
          <w:tcPr>
            <w:tcW w:w="5528" w:type="dxa"/>
            <w:tcBorders>
              <w:bottom w:val="single" w:sz="4" w:space="0" w:color="auto"/>
            </w:tcBorders>
            <w:vAlign w:val="center"/>
          </w:tcPr>
          <w:p w14:paraId="33257FF1" w14:textId="77777777" w:rsidR="00213A2C" w:rsidRPr="00B927A4" w:rsidRDefault="00213A2C" w:rsidP="00213A2C">
            <w:pPr>
              <w:spacing w:before="60"/>
              <w:jc w:val="left"/>
              <w:rPr>
                <w:color w:val="000000"/>
              </w:rPr>
            </w:pPr>
            <w:r w:rsidRPr="00B927A4">
              <w:rPr>
                <w:color w:val="000000"/>
              </w:rPr>
              <w:t>Daily Diary Form</w:t>
            </w:r>
          </w:p>
        </w:tc>
      </w:tr>
      <w:tr w:rsidR="00213A2C" w:rsidRPr="00B927A4" w14:paraId="57C70E9B" w14:textId="77777777" w:rsidTr="00213A2C">
        <w:tc>
          <w:tcPr>
            <w:tcW w:w="1134" w:type="dxa"/>
            <w:tcBorders>
              <w:bottom w:val="single" w:sz="4" w:space="0" w:color="auto"/>
            </w:tcBorders>
            <w:vAlign w:val="center"/>
          </w:tcPr>
          <w:p w14:paraId="59E592F0" w14:textId="438CCFD1" w:rsidR="00213A2C" w:rsidRPr="00B927A4" w:rsidRDefault="00213A2C" w:rsidP="00213A2C">
            <w:pPr>
              <w:spacing w:before="60"/>
              <w:jc w:val="center"/>
            </w:pPr>
            <w:r w:rsidRPr="00B927A4">
              <w:t>5.</w:t>
            </w:r>
            <w:r w:rsidR="00235DA8">
              <w:t>7</w:t>
            </w:r>
          </w:p>
        </w:tc>
        <w:tc>
          <w:tcPr>
            <w:tcW w:w="2694" w:type="dxa"/>
            <w:tcBorders>
              <w:bottom w:val="single" w:sz="4" w:space="0" w:color="auto"/>
            </w:tcBorders>
            <w:vAlign w:val="center"/>
          </w:tcPr>
          <w:p w14:paraId="5742E058" w14:textId="77777777" w:rsidR="00213A2C" w:rsidRPr="00B927A4" w:rsidRDefault="00213A2C" w:rsidP="00213A2C">
            <w:pPr>
              <w:spacing w:before="60"/>
              <w:jc w:val="left"/>
              <w:rPr>
                <w:color w:val="000000"/>
              </w:rPr>
            </w:pPr>
            <w:r w:rsidRPr="00B927A4">
              <w:t>Contractor's Compound and Principal's Requirements</w:t>
            </w:r>
          </w:p>
        </w:tc>
        <w:tc>
          <w:tcPr>
            <w:tcW w:w="5528" w:type="dxa"/>
            <w:tcBorders>
              <w:bottom w:val="single" w:sz="4" w:space="0" w:color="auto"/>
            </w:tcBorders>
            <w:vAlign w:val="center"/>
          </w:tcPr>
          <w:p w14:paraId="3BA58409" w14:textId="77777777" w:rsidR="00213A2C" w:rsidRPr="00B927A4" w:rsidRDefault="00213A2C" w:rsidP="00213A2C">
            <w:pPr>
              <w:spacing w:before="60"/>
              <w:jc w:val="left"/>
              <w:rPr>
                <w:color w:val="000000"/>
              </w:rPr>
            </w:pPr>
            <w:r w:rsidRPr="00B927A4">
              <w:t>Certificate of Compliance for electrical work in site office(s)</w:t>
            </w:r>
          </w:p>
        </w:tc>
      </w:tr>
      <w:tr w:rsidR="000C3F1B" w:rsidRPr="00B927A4" w14:paraId="5BE520D0" w14:textId="77777777" w:rsidTr="00213A2C">
        <w:tc>
          <w:tcPr>
            <w:tcW w:w="1134" w:type="dxa"/>
            <w:tcBorders>
              <w:bottom w:val="single" w:sz="4" w:space="0" w:color="auto"/>
            </w:tcBorders>
            <w:vAlign w:val="center"/>
          </w:tcPr>
          <w:p w14:paraId="34D7FCC1" w14:textId="39DD5EEB" w:rsidR="000C3F1B" w:rsidRPr="00B927A4" w:rsidRDefault="00ED0FFE" w:rsidP="00213A2C">
            <w:pPr>
              <w:spacing w:before="60"/>
              <w:jc w:val="center"/>
            </w:pPr>
            <w:r>
              <w:t>7.5</w:t>
            </w:r>
          </w:p>
        </w:tc>
        <w:tc>
          <w:tcPr>
            <w:tcW w:w="2694" w:type="dxa"/>
            <w:tcBorders>
              <w:bottom w:val="single" w:sz="4" w:space="0" w:color="auto"/>
            </w:tcBorders>
            <w:vAlign w:val="center"/>
          </w:tcPr>
          <w:p w14:paraId="5D0836FA" w14:textId="2149C01E" w:rsidR="000C3F1B" w:rsidRPr="00B927A4" w:rsidRDefault="000C3F1B" w:rsidP="000C3F1B">
            <w:pPr>
              <w:spacing w:before="60"/>
              <w:jc w:val="left"/>
              <w:rPr>
                <w:color w:val="000000"/>
              </w:rPr>
            </w:pPr>
            <w:r>
              <w:rPr>
                <w:color w:val="000000"/>
              </w:rPr>
              <w:t>Proprietary products</w:t>
            </w:r>
          </w:p>
        </w:tc>
        <w:tc>
          <w:tcPr>
            <w:tcW w:w="5528" w:type="dxa"/>
            <w:tcBorders>
              <w:bottom w:val="single" w:sz="4" w:space="0" w:color="auto"/>
            </w:tcBorders>
            <w:vAlign w:val="center"/>
          </w:tcPr>
          <w:p w14:paraId="1F31FDDF" w14:textId="7248ED93" w:rsidR="000C3F1B" w:rsidRPr="00B927A4" w:rsidRDefault="000C3F1B" w:rsidP="00213A2C">
            <w:pPr>
              <w:spacing w:before="60"/>
              <w:jc w:val="left"/>
              <w:rPr>
                <w:color w:val="000000"/>
              </w:rPr>
            </w:pPr>
            <w:r>
              <w:rPr>
                <w:color w:val="000000"/>
              </w:rPr>
              <w:t>Proposal to use an alternative product</w:t>
            </w:r>
          </w:p>
        </w:tc>
      </w:tr>
      <w:tr w:rsidR="00213A2C" w:rsidRPr="00B927A4" w14:paraId="04B466E6" w14:textId="77777777" w:rsidTr="00213A2C">
        <w:tc>
          <w:tcPr>
            <w:tcW w:w="1134" w:type="dxa"/>
            <w:tcBorders>
              <w:bottom w:val="single" w:sz="4" w:space="0" w:color="auto"/>
            </w:tcBorders>
            <w:vAlign w:val="center"/>
          </w:tcPr>
          <w:p w14:paraId="0A883923" w14:textId="77777777" w:rsidR="00213A2C" w:rsidRPr="00B927A4" w:rsidRDefault="00213A2C" w:rsidP="00213A2C">
            <w:pPr>
              <w:spacing w:before="60"/>
              <w:jc w:val="center"/>
            </w:pPr>
            <w:r w:rsidRPr="00B927A4">
              <w:t>13.</w:t>
            </w:r>
          </w:p>
        </w:tc>
        <w:tc>
          <w:tcPr>
            <w:tcW w:w="2694" w:type="dxa"/>
            <w:tcBorders>
              <w:bottom w:val="single" w:sz="4" w:space="0" w:color="auto"/>
            </w:tcBorders>
            <w:vAlign w:val="center"/>
          </w:tcPr>
          <w:p w14:paraId="2704AB9D" w14:textId="77777777" w:rsidR="00213A2C" w:rsidRPr="00B927A4" w:rsidRDefault="00213A2C" w:rsidP="00213A2C">
            <w:pPr>
              <w:spacing w:before="60"/>
              <w:jc w:val="left"/>
              <w:rPr>
                <w:color w:val="000000"/>
              </w:rPr>
            </w:pPr>
            <w:r w:rsidRPr="00B927A4">
              <w:rPr>
                <w:color w:val="000000"/>
              </w:rPr>
              <w:t>Clearance from Landowners</w:t>
            </w:r>
          </w:p>
        </w:tc>
        <w:tc>
          <w:tcPr>
            <w:tcW w:w="5528" w:type="dxa"/>
            <w:tcBorders>
              <w:bottom w:val="single" w:sz="4" w:space="0" w:color="auto"/>
            </w:tcBorders>
            <w:vAlign w:val="center"/>
          </w:tcPr>
          <w:p w14:paraId="79386CD7" w14:textId="77777777" w:rsidR="00213A2C" w:rsidRPr="00B927A4" w:rsidRDefault="00213A2C" w:rsidP="00213A2C">
            <w:pPr>
              <w:spacing w:before="60"/>
              <w:jc w:val="left"/>
              <w:rPr>
                <w:color w:val="000000"/>
              </w:rPr>
            </w:pPr>
            <w:r w:rsidRPr="00B927A4">
              <w:rPr>
                <w:color w:val="000000"/>
              </w:rPr>
              <w:t>Statement of clearance from Landowners</w:t>
            </w:r>
          </w:p>
        </w:tc>
      </w:tr>
      <w:tr w:rsidR="00213A2C" w:rsidRPr="00B927A4" w14:paraId="095C7539" w14:textId="77777777" w:rsidTr="00213A2C">
        <w:tc>
          <w:tcPr>
            <w:tcW w:w="1134" w:type="dxa"/>
            <w:tcBorders>
              <w:bottom w:val="single" w:sz="4" w:space="0" w:color="auto"/>
            </w:tcBorders>
            <w:vAlign w:val="center"/>
          </w:tcPr>
          <w:p w14:paraId="17DC4386" w14:textId="77777777" w:rsidR="00213A2C" w:rsidRPr="00B927A4" w:rsidRDefault="00213A2C" w:rsidP="00213A2C">
            <w:pPr>
              <w:spacing w:before="60"/>
              <w:jc w:val="center"/>
            </w:pPr>
            <w:r w:rsidRPr="00B927A4">
              <w:t>14.1</w:t>
            </w:r>
          </w:p>
        </w:tc>
        <w:tc>
          <w:tcPr>
            <w:tcW w:w="2694" w:type="dxa"/>
            <w:tcBorders>
              <w:bottom w:val="single" w:sz="4" w:space="0" w:color="auto"/>
            </w:tcBorders>
            <w:vAlign w:val="center"/>
          </w:tcPr>
          <w:p w14:paraId="78172778" w14:textId="77777777" w:rsidR="00213A2C" w:rsidRPr="00B927A4" w:rsidRDefault="00213A2C" w:rsidP="00213A2C">
            <w:pPr>
              <w:spacing w:before="60"/>
              <w:jc w:val="left"/>
              <w:rPr>
                <w:color w:val="000000"/>
              </w:rPr>
            </w:pPr>
            <w:r w:rsidRPr="00B927A4">
              <w:rPr>
                <w:color w:val="000000"/>
              </w:rPr>
              <w:t>Materials Supplied by the Principal</w:t>
            </w:r>
          </w:p>
        </w:tc>
        <w:tc>
          <w:tcPr>
            <w:tcW w:w="5528" w:type="dxa"/>
            <w:tcBorders>
              <w:bottom w:val="single" w:sz="4" w:space="0" w:color="auto"/>
            </w:tcBorders>
            <w:vAlign w:val="center"/>
          </w:tcPr>
          <w:p w14:paraId="2B5224D9" w14:textId="77777777" w:rsidR="00213A2C" w:rsidRPr="00B927A4" w:rsidRDefault="00213A2C" w:rsidP="00213A2C">
            <w:pPr>
              <w:spacing w:before="60"/>
              <w:jc w:val="left"/>
              <w:rPr>
                <w:color w:val="000000"/>
              </w:rPr>
            </w:pPr>
            <w:r w:rsidRPr="00B927A4">
              <w:rPr>
                <w:color w:val="000000"/>
              </w:rPr>
              <w:t>Receipt for materials</w:t>
            </w:r>
          </w:p>
        </w:tc>
      </w:tr>
      <w:tr w:rsidR="00213A2C" w:rsidRPr="00B927A4" w14:paraId="23CDBBD1" w14:textId="77777777" w:rsidTr="00213A2C">
        <w:tc>
          <w:tcPr>
            <w:tcW w:w="1134" w:type="dxa"/>
            <w:tcBorders>
              <w:bottom w:val="single" w:sz="4" w:space="0" w:color="auto"/>
            </w:tcBorders>
            <w:vAlign w:val="center"/>
          </w:tcPr>
          <w:p w14:paraId="3B09BDC2" w14:textId="77777777" w:rsidR="00213A2C" w:rsidRPr="00B927A4" w:rsidRDefault="00213A2C" w:rsidP="00213A2C">
            <w:pPr>
              <w:spacing w:before="60"/>
              <w:jc w:val="center"/>
            </w:pPr>
            <w:r w:rsidRPr="00B927A4">
              <w:t>14.3</w:t>
            </w:r>
          </w:p>
        </w:tc>
        <w:tc>
          <w:tcPr>
            <w:tcW w:w="2694" w:type="dxa"/>
            <w:tcBorders>
              <w:bottom w:val="single" w:sz="4" w:space="0" w:color="auto"/>
            </w:tcBorders>
            <w:vAlign w:val="center"/>
          </w:tcPr>
          <w:p w14:paraId="7FC1A233" w14:textId="77777777" w:rsidR="00213A2C" w:rsidRPr="00B927A4" w:rsidRDefault="00213A2C" w:rsidP="00213A2C">
            <w:pPr>
              <w:spacing w:before="60"/>
              <w:jc w:val="left"/>
              <w:rPr>
                <w:color w:val="000000"/>
              </w:rPr>
            </w:pPr>
            <w:r w:rsidRPr="00B927A4">
              <w:rPr>
                <w:color w:val="000000"/>
              </w:rPr>
              <w:t>Water not sourced from a SA Water pipelines</w:t>
            </w:r>
          </w:p>
        </w:tc>
        <w:tc>
          <w:tcPr>
            <w:tcW w:w="5528" w:type="dxa"/>
            <w:tcBorders>
              <w:bottom w:val="single" w:sz="4" w:space="0" w:color="auto"/>
            </w:tcBorders>
            <w:vAlign w:val="center"/>
          </w:tcPr>
          <w:p w14:paraId="42787FDB" w14:textId="77777777" w:rsidR="00213A2C" w:rsidRPr="00B927A4" w:rsidRDefault="00213A2C" w:rsidP="00213A2C">
            <w:pPr>
              <w:spacing w:before="60"/>
              <w:jc w:val="left"/>
              <w:rPr>
                <w:color w:val="000000"/>
              </w:rPr>
            </w:pPr>
            <w:r w:rsidRPr="00B927A4">
              <w:rPr>
                <w:color w:val="000000"/>
              </w:rPr>
              <w:t>Dissolved Salt Content</w:t>
            </w:r>
          </w:p>
        </w:tc>
      </w:tr>
      <w:tr w:rsidR="00213A2C" w:rsidRPr="00B927A4" w14:paraId="4D543676" w14:textId="77777777" w:rsidTr="00213A2C">
        <w:tc>
          <w:tcPr>
            <w:tcW w:w="1134" w:type="dxa"/>
            <w:tcBorders>
              <w:bottom w:val="single" w:sz="4" w:space="0" w:color="auto"/>
            </w:tcBorders>
            <w:vAlign w:val="center"/>
          </w:tcPr>
          <w:p w14:paraId="26AB10CD" w14:textId="77777777" w:rsidR="00213A2C" w:rsidRPr="00B927A4" w:rsidRDefault="00213A2C" w:rsidP="00213A2C">
            <w:pPr>
              <w:spacing w:before="60"/>
              <w:jc w:val="center"/>
            </w:pPr>
            <w:r w:rsidRPr="00B927A4">
              <w:t>15.2</w:t>
            </w:r>
          </w:p>
        </w:tc>
        <w:tc>
          <w:tcPr>
            <w:tcW w:w="2694" w:type="dxa"/>
            <w:tcBorders>
              <w:bottom w:val="single" w:sz="4" w:space="0" w:color="auto"/>
            </w:tcBorders>
            <w:vAlign w:val="center"/>
          </w:tcPr>
          <w:p w14:paraId="0BB05414" w14:textId="77777777" w:rsidR="00213A2C" w:rsidRPr="00B927A4" w:rsidRDefault="00213A2C" w:rsidP="00213A2C">
            <w:pPr>
              <w:spacing w:before="60"/>
              <w:jc w:val="left"/>
              <w:rPr>
                <w:color w:val="000000"/>
              </w:rPr>
            </w:pPr>
            <w:r w:rsidRPr="00B927A4">
              <w:rPr>
                <w:color w:val="000000"/>
              </w:rPr>
              <w:t>Materials paid for by weight</w:t>
            </w:r>
          </w:p>
        </w:tc>
        <w:tc>
          <w:tcPr>
            <w:tcW w:w="5528" w:type="dxa"/>
            <w:tcBorders>
              <w:bottom w:val="single" w:sz="4" w:space="0" w:color="auto"/>
            </w:tcBorders>
            <w:vAlign w:val="center"/>
          </w:tcPr>
          <w:p w14:paraId="0696414F" w14:textId="77777777" w:rsidR="00213A2C" w:rsidRPr="00B927A4" w:rsidRDefault="00213A2C" w:rsidP="00213A2C">
            <w:pPr>
              <w:spacing w:before="60"/>
              <w:jc w:val="left"/>
              <w:rPr>
                <w:color w:val="000000"/>
              </w:rPr>
            </w:pPr>
            <w:r w:rsidRPr="00B927A4">
              <w:rPr>
                <w:color w:val="000000"/>
              </w:rPr>
              <w:t xml:space="preserve">Standard Forms / </w:t>
            </w:r>
            <w:proofErr w:type="spellStart"/>
            <w:r w:rsidRPr="00B927A4">
              <w:rPr>
                <w:color w:val="000000"/>
              </w:rPr>
              <w:t>Cartnotes</w:t>
            </w:r>
            <w:proofErr w:type="spellEnd"/>
          </w:p>
        </w:tc>
      </w:tr>
      <w:tr w:rsidR="00213A2C" w:rsidRPr="00B927A4" w14:paraId="1A1704B7" w14:textId="77777777" w:rsidTr="00213A2C">
        <w:tc>
          <w:tcPr>
            <w:tcW w:w="1134" w:type="dxa"/>
            <w:tcBorders>
              <w:bottom w:val="single" w:sz="4" w:space="0" w:color="auto"/>
            </w:tcBorders>
            <w:vAlign w:val="center"/>
          </w:tcPr>
          <w:p w14:paraId="32BA20A3" w14:textId="77777777" w:rsidR="00213A2C" w:rsidRPr="00B927A4" w:rsidRDefault="00213A2C" w:rsidP="00213A2C">
            <w:pPr>
              <w:spacing w:before="60"/>
              <w:jc w:val="center"/>
            </w:pPr>
            <w:r w:rsidRPr="00B927A4">
              <w:t>15.3</w:t>
            </w:r>
          </w:p>
        </w:tc>
        <w:tc>
          <w:tcPr>
            <w:tcW w:w="2694" w:type="dxa"/>
            <w:tcBorders>
              <w:bottom w:val="single" w:sz="4" w:space="0" w:color="auto"/>
            </w:tcBorders>
            <w:vAlign w:val="center"/>
          </w:tcPr>
          <w:p w14:paraId="2982E9E7" w14:textId="77777777" w:rsidR="00213A2C" w:rsidRPr="00B927A4" w:rsidRDefault="00213A2C" w:rsidP="00213A2C">
            <w:pPr>
              <w:spacing w:before="60"/>
              <w:jc w:val="left"/>
              <w:rPr>
                <w:color w:val="000000"/>
              </w:rPr>
            </w:pPr>
            <w:r w:rsidRPr="00B927A4">
              <w:rPr>
                <w:color w:val="000000"/>
              </w:rPr>
              <w:t>Materials paid for by weight</w:t>
            </w:r>
          </w:p>
        </w:tc>
        <w:tc>
          <w:tcPr>
            <w:tcW w:w="5528" w:type="dxa"/>
            <w:tcBorders>
              <w:bottom w:val="single" w:sz="4" w:space="0" w:color="auto"/>
            </w:tcBorders>
            <w:vAlign w:val="center"/>
          </w:tcPr>
          <w:p w14:paraId="1E5410D9" w14:textId="77777777" w:rsidR="00213A2C" w:rsidRPr="00B927A4" w:rsidRDefault="00213A2C" w:rsidP="00213A2C">
            <w:pPr>
              <w:spacing w:before="60"/>
              <w:jc w:val="left"/>
              <w:rPr>
                <w:color w:val="000000"/>
              </w:rPr>
            </w:pPr>
            <w:r w:rsidRPr="00B927A4">
              <w:rPr>
                <w:color w:val="000000"/>
              </w:rPr>
              <w:t>Moisture Content Records</w:t>
            </w:r>
          </w:p>
        </w:tc>
      </w:tr>
      <w:tr w:rsidR="00213A2C" w:rsidRPr="00B927A4" w14:paraId="0CB18CDF" w14:textId="77777777" w:rsidTr="00213A2C">
        <w:tc>
          <w:tcPr>
            <w:tcW w:w="1134" w:type="dxa"/>
            <w:tcBorders>
              <w:bottom w:val="single" w:sz="4" w:space="0" w:color="auto"/>
            </w:tcBorders>
            <w:vAlign w:val="center"/>
          </w:tcPr>
          <w:p w14:paraId="001C9695" w14:textId="77777777" w:rsidR="00213A2C" w:rsidRPr="00B927A4" w:rsidRDefault="00213A2C" w:rsidP="00213A2C">
            <w:pPr>
              <w:spacing w:before="60"/>
              <w:jc w:val="center"/>
            </w:pPr>
            <w:r w:rsidRPr="00B927A4">
              <w:t>15.4</w:t>
            </w:r>
          </w:p>
        </w:tc>
        <w:tc>
          <w:tcPr>
            <w:tcW w:w="2694" w:type="dxa"/>
            <w:tcBorders>
              <w:bottom w:val="single" w:sz="4" w:space="0" w:color="auto"/>
            </w:tcBorders>
            <w:vAlign w:val="center"/>
          </w:tcPr>
          <w:p w14:paraId="63C98B26" w14:textId="77777777" w:rsidR="00213A2C" w:rsidRPr="00B927A4" w:rsidRDefault="00213A2C" w:rsidP="00213A2C">
            <w:pPr>
              <w:spacing w:before="60"/>
              <w:jc w:val="left"/>
              <w:rPr>
                <w:color w:val="000000"/>
              </w:rPr>
            </w:pPr>
            <w:r w:rsidRPr="00B927A4">
              <w:rPr>
                <w:color w:val="000000"/>
              </w:rPr>
              <w:t>Weighing Device</w:t>
            </w:r>
          </w:p>
        </w:tc>
        <w:tc>
          <w:tcPr>
            <w:tcW w:w="5528" w:type="dxa"/>
            <w:tcBorders>
              <w:bottom w:val="single" w:sz="4" w:space="0" w:color="auto"/>
            </w:tcBorders>
            <w:vAlign w:val="center"/>
          </w:tcPr>
          <w:p w14:paraId="45EC1369" w14:textId="77777777" w:rsidR="00213A2C" w:rsidRPr="00B927A4" w:rsidRDefault="00213A2C" w:rsidP="00213A2C">
            <w:pPr>
              <w:spacing w:before="60"/>
              <w:jc w:val="left"/>
              <w:rPr>
                <w:color w:val="000000"/>
              </w:rPr>
            </w:pPr>
            <w:r w:rsidRPr="00B927A4">
              <w:rPr>
                <w:color w:val="000000"/>
              </w:rPr>
              <w:t>Evidence of Accuracy / Calibration Records</w:t>
            </w:r>
          </w:p>
        </w:tc>
      </w:tr>
    </w:tbl>
    <w:p w14:paraId="54C96B8E" w14:textId="77777777" w:rsidR="00213A2C" w:rsidRPr="00B927A4" w:rsidRDefault="00213A2C" w:rsidP="00213A2C">
      <w:pPr>
        <w:jc w:val="left"/>
      </w:pPr>
    </w:p>
    <w:p w14:paraId="4E2FF782" w14:textId="77777777" w:rsidR="00213A2C" w:rsidRPr="00B927A4" w:rsidRDefault="00213A2C" w:rsidP="00213A2C">
      <w:pPr>
        <w:jc w:val="left"/>
        <w:sectPr w:rsidR="00213A2C" w:rsidRPr="00B927A4" w:rsidSect="00213A2C">
          <w:headerReference w:type="default" r:id="rId18"/>
          <w:footerReference w:type="even" r:id="rId19"/>
          <w:footerReference w:type="default" r:id="rId20"/>
          <w:endnotePr>
            <w:numFmt w:val="decimal"/>
          </w:endnotePr>
          <w:pgSz w:w="11906" w:h="16838"/>
          <w:pgMar w:top="851" w:right="851" w:bottom="566" w:left="1700" w:header="851" w:footer="566" w:gutter="0"/>
          <w:cols w:space="720"/>
          <w:noEndnote/>
        </w:sectPr>
      </w:pPr>
    </w:p>
    <w:p w14:paraId="213716A9" w14:textId="77777777" w:rsidR="00213A2C" w:rsidRPr="00B927A4" w:rsidRDefault="00213A2C" w:rsidP="00213A2C">
      <w:pPr>
        <w:tabs>
          <w:tab w:val="left" w:pos="0"/>
          <w:tab w:val="left" w:pos="15120"/>
          <w:tab w:val="left" w:pos="15840"/>
          <w:tab w:val="left" w:pos="16560"/>
          <w:tab w:val="left" w:pos="17280"/>
          <w:tab w:val="left" w:pos="18000"/>
          <w:tab w:val="left" w:pos="18720"/>
          <w:tab w:val="left" w:pos="30829"/>
        </w:tabs>
        <w:suppressAutoHyphens/>
        <w:jc w:val="center"/>
        <w:rPr>
          <w:b/>
          <w:spacing w:val="-2"/>
          <w:u w:val="single"/>
        </w:rPr>
      </w:pPr>
      <w:r w:rsidRPr="00B927A4">
        <w:rPr>
          <w:b/>
          <w:spacing w:val="-2"/>
          <w:u w:val="single"/>
        </w:rPr>
        <w:t>ATTACHMENT CH10.A</w:t>
      </w:r>
    </w:p>
    <w:p w14:paraId="596D2277" w14:textId="77777777" w:rsidR="00213A2C" w:rsidRPr="00B927A4" w:rsidRDefault="00213A2C" w:rsidP="00213A2C">
      <w:pPr>
        <w:tabs>
          <w:tab w:val="left" w:pos="0"/>
          <w:tab w:val="left" w:pos="15120"/>
          <w:tab w:val="left" w:pos="15840"/>
          <w:tab w:val="left" w:pos="16560"/>
          <w:tab w:val="left" w:pos="17280"/>
          <w:tab w:val="left" w:pos="18000"/>
          <w:tab w:val="left" w:pos="18720"/>
          <w:tab w:val="left" w:pos="30829"/>
        </w:tabs>
        <w:suppressAutoHyphens/>
        <w:jc w:val="center"/>
        <w:rPr>
          <w:b/>
          <w:spacing w:val="-2"/>
          <w:u w:val="single"/>
        </w:rPr>
      </w:pPr>
    </w:p>
    <w:p w14:paraId="4AD01D99" w14:textId="77777777" w:rsidR="00213A2C" w:rsidRPr="00B927A4" w:rsidRDefault="00213A2C" w:rsidP="00213A2C">
      <w:pPr>
        <w:tabs>
          <w:tab w:val="left" w:pos="0"/>
          <w:tab w:val="left" w:pos="15120"/>
          <w:tab w:val="left" w:pos="15840"/>
          <w:tab w:val="left" w:pos="16560"/>
          <w:tab w:val="left" w:pos="17280"/>
          <w:tab w:val="left" w:pos="18000"/>
          <w:tab w:val="left" w:pos="18720"/>
          <w:tab w:val="left" w:pos="30829"/>
        </w:tabs>
        <w:suppressAutoHyphens/>
        <w:jc w:val="center"/>
        <w:rPr>
          <w:b/>
          <w:spacing w:val="-2"/>
          <w:u w:val="single"/>
        </w:rPr>
      </w:pPr>
      <w:r w:rsidRPr="00B927A4">
        <w:rPr>
          <w:b/>
          <w:spacing w:val="-2"/>
          <w:u w:val="single"/>
        </w:rPr>
        <w:t>EXAMPLE CONSTRUCTION DAILY DIARY FORM</w:t>
      </w:r>
    </w:p>
    <w:p w14:paraId="2D0C65C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spacing w:val="-2"/>
        </w:rPr>
      </w:pPr>
    </w:p>
    <w:p w14:paraId="4FA94C0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spacing w:val="-2"/>
          <w:sz w:val="16"/>
          <w:szCs w:val="16"/>
        </w:rPr>
      </w:pPr>
    </w:p>
    <w:tbl>
      <w:tblPr>
        <w:tblW w:w="15168" w:type="dxa"/>
        <w:tblInd w:w="-34" w:type="dxa"/>
        <w:tblLayout w:type="fixed"/>
        <w:tblLook w:val="0000" w:firstRow="0" w:lastRow="0" w:firstColumn="0" w:lastColumn="0" w:noHBand="0" w:noVBand="0"/>
      </w:tblPr>
      <w:tblGrid>
        <w:gridCol w:w="34"/>
        <w:gridCol w:w="817"/>
        <w:gridCol w:w="1177"/>
        <w:gridCol w:w="687"/>
        <w:gridCol w:w="569"/>
        <w:gridCol w:w="715"/>
        <w:gridCol w:w="572"/>
        <w:gridCol w:w="1002"/>
        <w:gridCol w:w="239"/>
        <w:gridCol w:w="709"/>
        <w:gridCol w:w="851"/>
        <w:gridCol w:w="850"/>
        <w:gridCol w:w="709"/>
        <w:gridCol w:w="850"/>
        <w:gridCol w:w="709"/>
        <w:gridCol w:w="851"/>
        <w:gridCol w:w="1134"/>
        <w:gridCol w:w="992"/>
        <w:gridCol w:w="1701"/>
      </w:tblGrid>
      <w:tr w:rsidR="00213A2C" w:rsidRPr="00B927A4" w14:paraId="4C123553" w14:textId="77777777" w:rsidTr="00213A2C">
        <w:trPr>
          <w:gridBefore w:val="1"/>
          <w:wBefore w:w="34" w:type="dxa"/>
        </w:trPr>
        <w:tc>
          <w:tcPr>
            <w:tcW w:w="5778" w:type="dxa"/>
            <w:gridSpan w:val="8"/>
          </w:tcPr>
          <w:p w14:paraId="2CD7508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r w:rsidRPr="00B927A4">
              <w:rPr>
                <w:b/>
                <w:spacing w:val="-2"/>
                <w:sz w:val="16"/>
                <w:szCs w:val="16"/>
              </w:rPr>
              <w:t>CONTRACT NO: ................................................................................</w:t>
            </w:r>
          </w:p>
        </w:tc>
        <w:tc>
          <w:tcPr>
            <w:tcW w:w="7655" w:type="dxa"/>
            <w:gridSpan w:val="9"/>
          </w:tcPr>
          <w:p w14:paraId="5B38777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r w:rsidRPr="00B927A4">
              <w:rPr>
                <w:b/>
                <w:spacing w:val="-2"/>
                <w:sz w:val="16"/>
                <w:szCs w:val="16"/>
              </w:rPr>
              <w:t>CONTRACTOR: ..............................................................................................</w:t>
            </w:r>
          </w:p>
        </w:tc>
        <w:tc>
          <w:tcPr>
            <w:tcW w:w="1701" w:type="dxa"/>
          </w:tcPr>
          <w:p w14:paraId="204D2F0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r w:rsidRPr="00B927A4">
              <w:rPr>
                <w:b/>
                <w:spacing w:val="-2"/>
                <w:sz w:val="16"/>
                <w:szCs w:val="16"/>
              </w:rPr>
              <w:t>DOCUMENT NO.: ............</w:t>
            </w:r>
          </w:p>
        </w:tc>
      </w:tr>
      <w:tr w:rsidR="00213A2C" w:rsidRPr="00B927A4" w14:paraId="3A3B3CD9" w14:textId="77777777" w:rsidTr="00213A2C">
        <w:trPr>
          <w:gridBefore w:val="1"/>
          <w:wBefore w:w="34" w:type="dxa"/>
        </w:trPr>
        <w:tc>
          <w:tcPr>
            <w:tcW w:w="5778" w:type="dxa"/>
            <w:gridSpan w:val="8"/>
          </w:tcPr>
          <w:p w14:paraId="71948EC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p>
        </w:tc>
        <w:tc>
          <w:tcPr>
            <w:tcW w:w="7655" w:type="dxa"/>
            <w:gridSpan w:val="9"/>
          </w:tcPr>
          <w:p w14:paraId="6B379D5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p>
        </w:tc>
        <w:tc>
          <w:tcPr>
            <w:tcW w:w="1701" w:type="dxa"/>
          </w:tcPr>
          <w:p w14:paraId="4F9C4CC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spacing w:val="-2"/>
                <w:sz w:val="16"/>
                <w:szCs w:val="16"/>
              </w:rPr>
            </w:pPr>
            <w:r w:rsidRPr="00B927A4">
              <w:rPr>
                <w:spacing w:val="-2"/>
                <w:sz w:val="16"/>
                <w:szCs w:val="16"/>
              </w:rPr>
              <w:t>Page: .....</w:t>
            </w:r>
            <w:proofErr w:type="gramStart"/>
            <w:r w:rsidRPr="00B927A4">
              <w:rPr>
                <w:spacing w:val="-2"/>
                <w:sz w:val="16"/>
                <w:szCs w:val="16"/>
              </w:rPr>
              <w:t>of .</w:t>
            </w:r>
            <w:proofErr w:type="gramEnd"/>
          </w:p>
        </w:tc>
      </w:tr>
      <w:tr w:rsidR="00213A2C" w:rsidRPr="00B927A4" w14:paraId="722A83BE" w14:textId="77777777" w:rsidTr="00213A2C">
        <w:trPr>
          <w:gridBefore w:val="1"/>
          <w:wBefore w:w="34" w:type="dxa"/>
        </w:trPr>
        <w:tc>
          <w:tcPr>
            <w:tcW w:w="5778" w:type="dxa"/>
            <w:gridSpan w:val="8"/>
          </w:tcPr>
          <w:p w14:paraId="0D9A2BA6"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r w:rsidRPr="00B927A4">
              <w:rPr>
                <w:b/>
                <w:spacing w:val="-2"/>
                <w:sz w:val="16"/>
                <w:szCs w:val="16"/>
              </w:rPr>
              <w:t>SECTION: .............................................................................</w:t>
            </w:r>
          </w:p>
        </w:tc>
        <w:tc>
          <w:tcPr>
            <w:tcW w:w="7655" w:type="dxa"/>
            <w:gridSpan w:val="9"/>
          </w:tcPr>
          <w:p w14:paraId="6E89387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p>
        </w:tc>
        <w:tc>
          <w:tcPr>
            <w:tcW w:w="1701" w:type="dxa"/>
          </w:tcPr>
          <w:p w14:paraId="21486A8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spacing w:val="-2"/>
                <w:sz w:val="16"/>
                <w:szCs w:val="16"/>
              </w:rPr>
            </w:pPr>
            <w:r w:rsidRPr="00B927A4">
              <w:rPr>
                <w:spacing w:val="-2"/>
                <w:sz w:val="16"/>
                <w:szCs w:val="16"/>
              </w:rPr>
              <w:t>Date: ...../..../........</w:t>
            </w:r>
          </w:p>
        </w:tc>
      </w:tr>
      <w:tr w:rsidR="00213A2C" w:rsidRPr="00B927A4" w14:paraId="265B0C09" w14:textId="77777777" w:rsidTr="00213A2C">
        <w:trPr>
          <w:gridBefore w:val="1"/>
          <w:wBefore w:w="34" w:type="dxa"/>
        </w:trPr>
        <w:tc>
          <w:tcPr>
            <w:tcW w:w="5778" w:type="dxa"/>
            <w:gridSpan w:val="8"/>
          </w:tcPr>
          <w:p w14:paraId="640D08A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p>
        </w:tc>
        <w:tc>
          <w:tcPr>
            <w:tcW w:w="7655" w:type="dxa"/>
            <w:gridSpan w:val="9"/>
          </w:tcPr>
          <w:p w14:paraId="6311FFF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p>
        </w:tc>
        <w:tc>
          <w:tcPr>
            <w:tcW w:w="1701" w:type="dxa"/>
          </w:tcPr>
          <w:p w14:paraId="4495153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rPr>
                <w:b/>
                <w:spacing w:val="-2"/>
                <w:sz w:val="16"/>
                <w:szCs w:val="16"/>
              </w:rPr>
            </w:pPr>
          </w:p>
        </w:tc>
      </w:tr>
      <w:tr w:rsidR="00213A2C" w:rsidRPr="00B927A4" w14:paraId="4322EB76" w14:textId="77777777" w:rsidTr="00213A2C">
        <w:tblPrEx>
          <w:tblCellMar>
            <w:left w:w="120" w:type="dxa"/>
            <w:right w:w="120" w:type="dxa"/>
          </w:tblCellMar>
        </w:tblPrEx>
        <w:tc>
          <w:tcPr>
            <w:tcW w:w="851" w:type="dxa"/>
            <w:gridSpan w:val="2"/>
            <w:tcBorders>
              <w:top w:val="double" w:sz="6" w:space="0" w:color="auto"/>
              <w:left w:val="double" w:sz="6" w:space="0" w:color="auto"/>
            </w:tcBorders>
          </w:tcPr>
          <w:p w14:paraId="0DE98C3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jc w:val="center"/>
              <w:rPr>
                <w:b/>
                <w:spacing w:val="-1"/>
                <w:sz w:val="16"/>
                <w:szCs w:val="16"/>
              </w:rPr>
            </w:pPr>
            <w:r w:rsidRPr="00B927A4">
              <w:rPr>
                <w:b/>
                <w:spacing w:val="-1"/>
                <w:sz w:val="16"/>
                <w:szCs w:val="16"/>
              </w:rPr>
              <w:t>DATA</w:t>
            </w:r>
          </w:p>
          <w:p w14:paraId="53B3DBE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jc w:val="center"/>
              <w:rPr>
                <w:b/>
                <w:spacing w:val="-1"/>
                <w:sz w:val="16"/>
                <w:szCs w:val="16"/>
              </w:rPr>
            </w:pPr>
            <w:r w:rsidRPr="00B927A4">
              <w:rPr>
                <w:b/>
                <w:spacing w:val="-1"/>
                <w:sz w:val="16"/>
                <w:szCs w:val="16"/>
              </w:rPr>
              <w:t>ENTRY</w:t>
            </w:r>
          </w:p>
          <w:p w14:paraId="3607742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jc w:val="center"/>
              <w:rPr>
                <w:b/>
                <w:spacing w:val="-1"/>
                <w:sz w:val="16"/>
                <w:szCs w:val="16"/>
              </w:rPr>
            </w:pPr>
            <w:r w:rsidRPr="00B927A4">
              <w:rPr>
                <w:b/>
                <w:spacing w:val="-1"/>
                <w:sz w:val="16"/>
                <w:szCs w:val="16"/>
              </w:rPr>
              <w:t>No.</w:t>
            </w:r>
          </w:p>
        </w:tc>
        <w:tc>
          <w:tcPr>
            <w:tcW w:w="1177" w:type="dxa"/>
            <w:tcBorders>
              <w:top w:val="double" w:sz="6" w:space="0" w:color="auto"/>
              <w:left w:val="double" w:sz="6" w:space="0" w:color="auto"/>
            </w:tcBorders>
          </w:tcPr>
          <w:p w14:paraId="56FEAF3D" w14:textId="77777777" w:rsidR="00213A2C" w:rsidRPr="00B927A4" w:rsidRDefault="00213A2C" w:rsidP="00213A2C">
            <w:pPr>
              <w:tabs>
                <w:tab w:val="center" w:pos="531"/>
              </w:tabs>
              <w:suppressAutoHyphens/>
              <w:spacing w:before="90"/>
              <w:jc w:val="center"/>
              <w:rPr>
                <w:b/>
                <w:spacing w:val="-1"/>
                <w:sz w:val="16"/>
                <w:szCs w:val="16"/>
              </w:rPr>
            </w:pPr>
            <w:r w:rsidRPr="00B927A4">
              <w:rPr>
                <w:b/>
                <w:spacing w:val="-1"/>
                <w:sz w:val="16"/>
                <w:szCs w:val="16"/>
              </w:rPr>
              <w:t>LOCATION</w:t>
            </w:r>
          </w:p>
        </w:tc>
        <w:tc>
          <w:tcPr>
            <w:tcW w:w="1256" w:type="dxa"/>
            <w:gridSpan w:val="2"/>
            <w:tcBorders>
              <w:top w:val="double" w:sz="6" w:space="0" w:color="auto"/>
              <w:left w:val="double" w:sz="6" w:space="0" w:color="auto"/>
            </w:tcBorders>
          </w:tcPr>
          <w:p w14:paraId="0395992C" w14:textId="77777777" w:rsidR="00213A2C" w:rsidRPr="00B927A4" w:rsidRDefault="00213A2C" w:rsidP="00213A2C">
            <w:pPr>
              <w:tabs>
                <w:tab w:val="center" w:pos="504"/>
              </w:tabs>
              <w:suppressAutoHyphens/>
              <w:spacing w:before="90" w:after="54"/>
              <w:jc w:val="center"/>
              <w:rPr>
                <w:b/>
                <w:spacing w:val="-1"/>
                <w:sz w:val="16"/>
                <w:szCs w:val="16"/>
              </w:rPr>
            </w:pPr>
            <w:r w:rsidRPr="00B927A4">
              <w:rPr>
                <w:b/>
                <w:spacing w:val="-1"/>
                <w:sz w:val="16"/>
                <w:szCs w:val="16"/>
              </w:rPr>
              <w:t>LABOUR</w:t>
            </w:r>
          </w:p>
        </w:tc>
        <w:tc>
          <w:tcPr>
            <w:tcW w:w="1287" w:type="dxa"/>
            <w:gridSpan w:val="2"/>
            <w:tcBorders>
              <w:top w:val="double" w:sz="6" w:space="0" w:color="auto"/>
              <w:left w:val="double" w:sz="6" w:space="0" w:color="auto"/>
            </w:tcBorders>
          </w:tcPr>
          <w:p w14:paraId="1D21D094" w14:textId="77777777" w:rsidR="00213A2C" w:rsidRPr="00B927A4" w:rsidRDefault="00213A2C" w:rsidP="00213A2C">
            <w:pPr>
              <w:tabs>
                <w:tab w:val="center" w:pos="475"/>
              </w:tabs>
              <w:suppressAutoHyphens/>
              <w:spacing w:before="90" w:after="54"/>
              <w:jc w:val="center"/>
              <w:rPr>
                <w:b/>
                <w:spacing w:val="-1"/>
                <w:sz w:val="16"/>
                <w:szCs w:val="16"/>
              </w:rPr>
            </w:pPr>
            <w:r w:rsidRPr="00B927A4">
              <w:rPr>
                <w:b/>
                <w:spacing w:val="-1"/>
                <w:sz w:val="16"/>
                <w:szCs w:val="16"/>
              </w:rPr>
              <w:t>PLANT</w:t>
            </w:r>
          </w:p>
        </w:tc>
        <w:tc>
          <w:tcPr>
            <w:tcW w:w="1002" w:type="dxa"/>
            <w:tcBorders>
              <w:top w:val="double" w:sz="6" w:space="0" w:color="auto"/>
              <w:left w:val="double" w:sz="6" w:space="0" w:color="auto"/>
              <w:right w:val="double" w:sz="6" w:space="0" w:color="auto"/>
            </w:tcBorders>
          </w:tcPr>
          <w:p w14:paraId="354B7BF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jc w:val="center"/>
              <w:rPr>
                <w:b/>
                <w:spacing w:val="-1"/>
                <w:sz w:val="16"/>
                <w:szCs w:val="16"/>
              </w:rPr>
            </w:pPr>
            <w:r w:rsidRPr="00B927A4">
              <w:rPr>
                <w:b/>
                <w:spacing w:val="-1"/>
                <w:sz w:val="16"/>
                <w:szCs w:val="16"/>
              </w:rPr>
              <w:t>HOURS</w:t>
            </w:r>
          </w:p>
          <w:p w14:paraId="2BDF36B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jc w:val="center"/>
              <w:rPr>
                <w:b/>
                <w:spacing w:val="-1"/>
                <w:sz w:val="16"/>
                <w:szCs w:val="16"/>
              </w:rPr>
            </w:pPr>
            <w:r w:rsidRPr="00B927A4">
              <w:rPr>
                <w:b/>
                <w:spacing w:val="-1"/>
                <w:sz w:val="16"/>
                <w:szCs w:val="16"/>
              </w:rPr>
              <w:t>WORKED</w:t>
            </w:r>
          </w:p>
        </w:tc>
        <w:tc>
          <w:tcPr>
            <w:tcW w:w="1799" w:type="dxa"/>
            <w:gridSpan w:val="3"/>
            <w:tcBorders>
              <w:top w:val="double" w:sz="6" w:space="0" w:color="auto"/>
              <w:right w:val="double" w:sz="6" w:space="0" w:color="auto"/>
            </w:tcBorders>
          </w:tcPr>
          <w:p w14:paraId="2D4262EB" w14:textId="77777777" w:rsidR="00213A2C" w:rsidRPr="00B927A4" w:rsidRDefault="00213A2C" w:rsidP="00213A2C">
            <w:pPr>
              <w:tabs>
                <w:tab w:val="center" w:pos="644"/>
              </w:tabs>
              <w:suppressAutoHyphens/>
              <w:spacing w:before="90" w:after="54"/>
              <w:jc w:val="center"/>
              <w:rPr>
                <w:b/>
                <w:spacing w:val="-1"/>
                <w:sz w:val="16"/>
                <w:szCs w:val="16"/>
              </w:rPr>
            </w:pPr>
            <w:r w:rsidRPr="00B927A4">
              <w:rPr>
                <w:b/>
                <w:spacing w:val="-1"/>
                <w:sz w:val="16"/>
                <w:szCs w:val="16"/>
              </w:rPr>
              <w:t>IDLE</w:t>
            </w:r>
          </w:p>
        </w:tc>
        <w:tc>
          <w:tcPr>
            <w:tcW w:w="1559" w:type="dxa"/>
            <w:gridSpan w:val="2"/>
            <w:tcBorders>
              <w:top w:val="double" w:sz="6" w:space="0" w:color="auto"/>
              <w:right w:val="double" w:sz="6" w:space="0" w:color="auto"/>
            </w:tcBorders>
          </w:tcPr>
          <w:p w14:paraId="66D9AECE" w14:textId="77777777" w:rsidR="00213A2C" w:rsidRPr="00B927A4" w:rsidRDefault="00213A2C" w:rsidP="00213A2C">
            <w:pPr>
              <w:tabs>
                <w:tab w:val="center" w:pos="446"/>
              </w:tabs>
              <w:suppressAutoHyphens/>
              <w:spacing w:before="90" w:after="54"/>
              <w:jc w:val="center"/>
              <w:rPr>
                <w:b/>
                <w:spacing w:val="-1"/>
                <w:sz w:val="16"/>
                <w:szCs w:val="16"/>
              </w:rPr>
            </w:pPr>
            <w:r w:rsidRPr="00B927A4">
              <w:rPr>
                <w:b/>
                <w:spacing w:val="-1"/>
                <w:sz w:val="16"/>
                <w:szCs w:val="16"/>
              </w:rPr>
              <w:t>CHAINAGE</w:t>
            </w:r>
          </w:p>
        </w:tc>
        <w:tc>
          <w:tcPr>
            <w:tcW w:w="2410" w:type="dxa"/>
            <w:gridSpan w:val="3"/>
            <w:tcBorders>
              <w:top w:val="double" w:sz="6" w:space="0" w:color="auto"/>
              <w:right w:val="double" w:sz="6" w:space="0" w:color="auto"/>
            </w:tcBorders>
          </w:tcPr>
          <w:p w14:paraId="48140215" w14:textId="77777777" w:rsidR="00213A2C" w:rsidRPr="00B927A4" w:rsidRDefault="00213A2C" w:rsidP="00213A2C">
            <w:pPr>
              <w:tabs>
                <w:tab w:val="center" w:pos="1013"/>
              </w:tabs>
              <w:suppressAutoHyphens/>
              <w:spacing w:before="90" w:after="54"/>
              <w:jc w:val="center"/>
              <w:rPr>
                <w:b/>
                <w:spacing w:val="-1"/>
                <w:sz w:val="16"/>
                <w:szCs w:val="16"/>
              </w:rPr>
            </w:pPr>
            <w:r w:rsidRPr="00B927A4">
              <w:rPr>
                <w:b/>
                <w:spacing w:val="-1"/>
                <w:sz w:val="16"/>
                <w:szCs w:val="16"/>
              </w:rPr>
              <w:t>LOT NO.</w:t>
            </w:r>
          </w:p>
        </w:tc>
        <w:tc>
          <w:tcPr>
            <w:tcW w:w="1134" w:type="dxa"/>
            <w:tcBorders>
              <w:top w:val="double" w:sz="6" w:space="0" w:color="auto"/>
              <w:right w:val="double" w:sz="6" w:space="0" w:color="auto"/>
            </w:tcBorders>
          </w:tcPr>
          <w:p w14:paraId="42A0B306" w14:textId="77777777" w:rsidR="00213A2C" w:rsidRPr="00B927A4" w:rsidRDefault="00213A2C" w:rsidP="00213A2C">
            <w:pPr>
              <w:tabs>
                <w:tab w:val="center" w:pos="275"/>
              </w:tabs>
              <w:suppressAutoHyphens/>
              <w:spacing w:before="90"/>
              <w:jc w:val="center"/>
              <w:rPr>
                <w:b/>
                <w:spacing w:val="-1"/>
                <w:sz w:val="16"/>
                <w:szCs w:val="16"/>
              </w:rPr>
            </w:pPr>
            <w:r w:rsidRPr="00B927A4">
              <w:rPr>
                <w:b/>
                <w:spacing w:val="-1"/>
                <w:sz w:val="16"/>
                <w:szCs w:val="16"/>
              </w:rPr>
              <w:t>HAUL</w:t>
            </w:r>
          </w:p>
          <w:p w14:paraId="2A00CD64" w14:textId="77777777" w:rsidR="00213A2C" w:rsidRPr="00B927A4" w:rsidRDefault="00213A2C" w:rsidP="00213A2C">
            <w:pPr>
              <w:tabs>
                <w:tab w:val="center" w:pos="275"/>
              </w:tabs>
              <w:suppressAutoHyphens/>
              <w:jc w:val="center"/>
              <w:rPr>
                <w:b/>
                <w:spacing w:val="-1"/>
                <w:sz w:val="16"/>
                <w:szCs w:val="16"/>
              </w:rPr>
            </w:pPr>
            <w:r w:rsidRPr="00B927A4">
              <w:rPr>
                <w:b/>
                <w:spacing w:val="-1"/>
                <w:sz w:val="16"/>
                <w:szCs w:val="16"/>
              </w:rPr>
              <w:t>FROM</w:t>
            </w:r>
          </w:p>
        </w:tc>
        <w:tc>
          <w:tcPr>
            <w:tcW w:w="992" w:type="dxa"/>
            <w:tcBorders>
              <w:top w:val="double" w:sz="6" w:space="0" w:color="auto"/>
              <w:right w:val="double" w:sz="6" w:space="0" w:color="auto"/>
            </w:tcBorders>
          </w:tcPr>
          <w:p w14:paraId="7BD4317E" w14:textId="77777777" w:rsidR="00213A2C" w:rsidRPr="00B927A4" w:rsidRDefault="00213A2C" w:rsidP="00213A2C">
            <w:pPr>
              <w:tabs>
                <w:tab w:val="center" w:pos="220"/>
              </w:tabs>
              <w:suppressAutoHyphens/>
              <w:spacing w:before="90"/>
              <w:jc w:val="center"/>
              <w:rPr>
                <w:b/>
                <w:spacing w:val="-1"/>
                <w:sz w:val="16"/>
                <w:szCs w:val="16"/>
              </w:rPr>
            </w:pPr>
            <w:r w:rsidRPr="00B927A4">
              <w:rPr>
                <w:b/>
                <w:spacing w:val="-1"/>
                <w:sz w:val="16"/>
                <w:szCs w:val="16"/>
              </w:rPr>
              <w:t>SUB</w:t>
            </w:r>
          </w:p>
          <w:p w14:paraId="167BA982" w14:textId="77777777" w:rsidR="00213A2C" w:rsidRPr="00B927A4" w:rsidRDefault="00213A2C" w:rsidP="00213A2C">
            <w:pPr>
              <w:tabs>
                <w:tab w:val="center" w:pos="220"/>
              </w:tabs>
              <w:suppressAutoHyphens/>
              <w:jc w:val="center"/>
              <w:rPr>
                <w:b/>
                <w:spacing w:val="-1"/>
                <w:sz w:val="16"/>
                <w:szCs w:val="16"/>
              </w:rPr>
            </w:pPr>
            <w:r w:rsidRPr="00B927A4">
              <w:rPr>
                <w:b/>
                <w:spacing w:val="-1"/>
                <w:sz w:val="16"/>
                <w:szCs w:val="16"/>
              </w:rPr>
              <w:t>ACT.</w:t>
            </w:r>
          </w:p>
          <w:p w14:paraId="2122A816" w14:textId="77777777" w:rsidR="00213A2C" w:rsidRPr="00B927A4" w:rsidRDefault="00213A2C" w:rsidP="00213A2C">
            <w:pPr>
              <w:tabs>
                <w:tab w:val="center" w:pos="220"/>
              </w:tabs>
              <w:suppressAutoHyphens/>
              <w:jc w:val="center"/>
              <w:rPr>
                <w:b/>
                <w:spacing w:val="-1"/>
                <w:sz w:val="16"/>
                <w:szCs w:val="16"/>
              </w:rPr>
            </w:pPr>
            <w:r w:rsidRPr="00B927A4">
              <w:rPr>
                <w:b/>
                <w:spacing w:val="-1"/>
                <w:sz w:val="16"/>
                <w:szCs w:val="16"/>
              </w:rPr>
              <w:t>NO.</w:t>
            </w:r>
          </w:p>
        </w:tc>
        <w:tc>
          <w:tcPr>
            <w:tcW w:w="1701" w:type="dxa"/>
            <w:tcBorders>
              <w:top w:val="double" w:sz="6" w:space="0" w:color="auto"/>
              <w:right w:val="double" w:sz="6" w:space="0" w:color="auto"/>
            </w:tcBorders>
          </w:tcPr>
          <w:p w14:paraId="49970EE3" w14:textId="77777777" w:rsidR="00213A2C" w:rsidRPr="00B927A4" w:rsidRDefault="00213A2C" w:rsidP="00213A2C">
            <w:pPr>
              <w:tabs>
                <w:tab w:val="center" w:pos="1496"/>
              </w:tabs>
              <w:suppressAutoHyphens/>
              <w:spacing w:before="90"/>
              <w:jc w:val="center"/>
              <w:rPr>
                <w:b/>
                <w:spacing w:val="-1"/>
                <w:sz w:val="16"/>
                <w:szCs w:val="16"/>
              </w:rPr>
            </w:pPr>
            <w:r w:rsidRPr="00B927A4">
              <w:rPr>
                <w:b/>
                <w:spacing w:val="-1"/>
                <w:sz w:val="16"/>
                <w:szCs w:val="16"/>
              </w:rPr>
              <w:t>REMARKS</w:t>
            </w:r>
          </w:p>
        </w:tc>
      </w:tr>
      <w:tr w:rsidR="00213A2C" w:rsidRPr="00B927A4" w14:paraId="4714BE30" w14:textId="77777777" w:rsidTr="00213A2C">
        <w:tblPrEx>
          <w:tblCellMar>
            <w:left w:w="120" w:type="dxa"/>
            <w:right w:w="120" w:type="dxa"/>
          </w:tblCellMar>
        </w:tblPrEx>
        <w:tc>
          <w:tcPr>
            <w:tcW w:w="851" w:type="dxa"/>
            <w:gridSpan w:val="2"/>
            <w:tcBorders>
              <w:left w:val="double" w:sz="6" w:space="0" w:color="auto"/>
              <w:bottom w:val="double" w:sz="6" w:space="0" w:color="auto"/>
            </w:tcBorders>
          </w:tcPr>
          <w:p w14:paraId="2DAFF54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b/>
                <w:spacing w:val="-1"/>
                <w:sz w:val="16"/>
                <w:szCs w:val="16"/>
              </w:rPr>
            </w:pPr>
          </w:p>
        </w:tc>
        <w:tc>
          <w:tcPr>
            <w:tcW w:w="1177" w:type="dxa"/>
            <w:tcBorders>
              <w:left w:val="double" w:sz="6" w:space="0" w:color="auto"/>
              <w:bottom w:val="double" w:sz="6" w:space="0" w:color="auto"/>
            </w:tcBorders>
          </w:tcPr>
          <w:p w14:paraId="5261250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b/>
                <w:spacing w:val="-1"/>
                <w:sz w:val="16"/>
                <w:szCs w:val="16"/>
              </w:rPr>
            </w:pPr>
          </w:p>
        </w:tc>
        <w:tc>
          <w:tcPr>
            <w:tcW w:w="687" w:type="dxa"/>
            <w:tcBorders>
              <w:top w:val="double" w:sz="6" w:space="0" w:color="auto"/>
              <w:left w:val="double" w:sz="6" w:space="0" w:color="auto"/>
              <w:bottom w:val="double" w:sz="6" w:space="0" w:color="auto"/>
            </w:tcBorders>
          </w:tcPr>
          <w:p w14:paraId="73D5F93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TYPE</w:t>
            </w:r>
          </w:p>
        </w:tc>
        <w:tc>
          <w:tcPr>
            <w:tcW w:w="569" w:type="dxa"/>
            <w:tcBorders>
              <w:top w:val="double" w:sz="6" w:space="0" w:color="auto"/>
              <w:left w:val="single" w:sz="6" w:space="0" w:color="auto"/>
              <w:bottom w:val="double" w:sz="6" w:space="0" w:color="auto"/>
            </w:tcBorders>
          </w:tcPr>
          <w:p w14:paraId="72C5DED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NO.</w:t>
            </w:r>
          </w:p>
        </w:tc>
        <w:tc>
          <w:tcPr>
            <w:tcW w:w="715" w:type="dxa"/>
            <w:tcBorders>
              <w:top w:val="double" w:sz="6" w:space="0" w:color="auto"/>
              <w:left w:val="double" w:sz="6" w:space="0" w:color="auto"/>
              <w:bottom w:val="double" w:sz="6" w:space="0" w:color="auto"/>
            </w:tcBorders>
          </w:tcPr>
          <w:p w14:paraId="2C02925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TYPE</w:t>
            </w:r>
          </w:p>
        </w:tc>
        <w:tc>
          <w:tcPr>
            <w:tcW w:w="572" w:type="dxa"/>
            <w:tcBorders>
              <w:top w:val="double" w:sz="6" w:space="0" w:color="auto"/>
              <w:left w:val="single" w:sz="6" w:space="0" w:color="auto"/>
              <w:bottom w:val="double" w:sz="6" w:space="0" w:color="auto"/>
            </w:tcBorders>
          </w:tcPr>
          <w:p w14:paraId="79B4919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NO.</w:t>
            </w:r>
          </w:p>
        </w:tc>
        <w:tc>
          <w:tcPr>
            <w:tcW w:w="1002" w:type="dxa"/>
            <w:tcBorders>
              <w:left w:val="double" w:sz="6" w:space="0" w:color="auto"/>
              <w:bottom w:val="double" w:sz="6" w:space="0" w:color="auto"/>
              <w:right w:val="double" w:sz="6" w:space="0" w:color="auto"/>
            </w:tcBorders>
          </w:tcPr>
          <w:p w14:paraId="1F41DEA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p>
        </w:tc>
        <w:tc>
          <w:tcPr>
            <w:tcW w:w="948" w:type="dxa"/>
            <w:gridSpan w:val="2"/>
            <w:tcBorders>
              <w:top w:val="double" w:sz="6" w:space="0" w:color="auto"/>
              <w:bottom w:val="double" w:sz="6" w:space="0" w:color="auto"/>
            </w:tcBorders>
          </w:tcPr>
          <w:p w14:paraId="3D07076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HOURS</w:t>
            </w:r>
          </w:p>
        </w:tc>
        <w:tc>
          <w:tcPr>
            <w:tcW w:w="851" w:type="dxa"/>
            <w:tcBorders>
              <w:top w:val="double" w:sz="6" w:space="0" w:color="auto"/>
              <w:left w:val="single" w:sz="6" w:space="0" w:color="auto"/>
              <w:bottom w:val="double" w:sz="6" w:space="0" w:color="auto"/>
              <w:right w:val="double" w:sz="6" w:space="0" w:color="auto"/>
            </w:tcBorders>
          </w:tcPr>
          <w:p w14:paraId="51B4D63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STATUS</w:t>
            </w:r>
          </w:p>
        </w:tc>
        <w:tc>
          <w:tcPr>
            <w:tcW w:w="850" w:type="dxa"/>
            <w:tcBorders>
              <w:top w:val="double" w:sz="6" w:space="0" w:color="auto"/>
              <w:bottom w:val="double" w:sz="6" w:space="0" w:color="auto"/>
            </w:tcBorders>
          </w:tcPr>
          <w:p w14:paraId="218B9C6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FROM</w:t>
            </w:r>
          </w:p>
        </w:tc>
        <w:tc>
          <w:tcPr>
            <w:tcW w:w="709" w:type="dxa"/>
            <w:tcBorders>
              <w:top w:val="double" w:sz="6" w:space="0" w:color="auto"/>
              <w:left w:val="single" w:sz="6" w:space="0" w:color="auto"/>
              <w:bottom w:val="double" w:sz="6" w:space="0" w:color="auto"/>
              <w:right w:val="double" w:sz="6" w:space="0" w:color="auto"/>
            </w:tcBorders>
          </w:tcPr>
          <w:p w14:paraId="03FB144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TO</w:t>
            </w:r>
          </w:p>
        </w:tc>
        <w:tc>
          <w:tcPr>
            <w:tcW w:w="850" w:type="dxa"/>
            <w:tcBorders>
              <w:top w:val="double" w:sz="6" w:space="0" w:color="auto"/>
              <w:bottom w:val="double" w:sz="6" w:space="0" w:color="auto"/>
            </w:tcBorders>
          </w:tcPr>
          <w:p w14:paraId="52449B0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r w:rsidRPr="00B927A4">
              <w:rPr>
                <w:b/>
                <w:spacing w:val="-1"/>
                <w:sz w:val="16"/>
                <w:szCs w:val="16"/>
              </w:rPr>
              <w:t>ACT.</w:t>
            </w:r>
          </w:p>
        </w:tc>
        <w:tc>
          <w:tcPr>
            <w:tcW w:w="709" w:type="dxa"/>
            <w:tcBorders>
              <w:top w:val="double" w:sz="6" w:space="0" w:color="auto"/>
              <w:left w:val="single" w:sz="6" w:space="0" w:color="auto"/>
              <w:bottom w:val="double" w:sz="6" w:space="0" w:color="auto"/>
            </w:tcBorders>
          </w:tcPr>
          <w:p w14:paraId="2CFBB20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jc w:val="center"/>
              <w:rPr>
                <w:b/>
                <w:spacing w:val="-1"/>
                <w:sz w:val="16"/>
                <w:szCs w:val="16"/>
              </w:rPr>
            </w:pPr>
            <w:proofErr w:type="spellStart"/>
            <w:r w:rsidRPr="00B927A4">
              <w:rPr>
                <w:b/>
                <w:spacing w:val="-1"/>
                <w:sz w:val="16"/>
                <w:szCs w:val="16"/>
              </w:rPr>
              <w:t>UNIQ</w:t>
            </w:r>
            <w:proofErr w:type="spellEnd"/>
            <w:r w:rsidRPr="00B927A4">
              <w:rPr>
                <w:b/>
                <w:spacing w:val="-1"/>
                <w:sz w:val="16"/>
                <w:szCs w:val="16"/>
              </w:rPr>
              <w:t>.</w:t>
            </w:r>
          </w:p>
        </w:tc>
        <w:tc>
          <w:tcPr>
            <w:tcW w:w="851" w:type="dxa"/>
            <w:tcBorders>
              <w:top w:val="double" w:sz="6" w:space="0" w:color="auto"/>
              <w:left w:val="single" w:sz="6" w:space="0" w:color="auto"/>
              <w:bottom w:val="double" w:sz="6" w:space="0" w:color="auto"/>
              <w:right w:val="double" w:sz="6" w:space="0" w:color="auto"/>
            </w:tcBorders>
          </w:tcPr>
          <w:p w14:paraId="4EE9C4F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jc w:val="center"/>
              <w:rPr>
                <w:b/>
                <w:spacing w:val="-1"/>
                <w:sz w:val="16"/>
                <w:szCs w:val="16"/>
              </w:rPr>
            </w:pPr>
            <w:r w:rsidRPr="00B927A4">
              <w:rPr>
                <w:b/>
                <w:spacing w:val="-1"/>
                <w:sz w:val="16"/>
                <w:szCs w:val="16"/>
              </w:rPr>
              <w:t>SCHED.</w:t>
            </w:r>
          </w:p>
          <w:p w14:paraId="7936B67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jc w:val="center"/>
              <w:rPr>
                <w:b/>
                <w:spacing w:val="-1"/>
                <w:sz w:val="16"/>
                <w:szCs w:val="16"/>
              </w:rPr>
            </w:pPr>
            <w:r w:rsidRPr="00B927A4">
              <w:rPr>
                <w:b/>
                <w:spacing w:val="-1"/>
                <w:sz w:val="16"/>
                <w:szCs w:val="16"/>
              </w:rPr>
              <w:t>ITEM OR</w:t>
            </w:r>
          </w:p>
          <w:p w14:paraId="4303A31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jc w:val="center"/>
              <w:rPr>
                <w:b/>
                <w:spacing w:val="-1"/>
                <w:sz w:val="16"/>
                <w:szCs w:val="16"/>
              </w:rPr>
            </w:pPr>
            <w:r w:rsidRPr="00B927A4">
              <w:rPr>
                <w:b/>
                <w:spacing w:val="-1"/>
                <w:sz w:val="16"/>
                <w:szCs w:val="16"/>
              </w:rPr>
              <w:t>VO NO.</w:t>
            </w:r>
          </w:p>
        </w:tc>
        <w:tc>
          <w:tcPr>
            <w:tcW w:w="1134" w:type="dxa"/>
            <w:tcBorders>
              <w:bottom w:val="double" w:sz="6" w:space="0" w:color="auto"/>
              <w:right w:val="double" w:sz="6" w:space="0" w:color="auto"/>
            </w:tcBorders>
          </w:tcPr>
          <w:p w14:paraId="7D938BE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b/>
                <w:spacing w:val="-1"/>
                <w:sz w:val="16"/>
                <w:szCs w:val="16"/>
              </w:rPr>
            </w:pPr>
          </w:p>
        </w:tc>
        <w:tc>
          <w:tcPr>
            <w:tcW w:w="992" w:type="dxa"/>
            <w:tcBorders>
              <w:bottom w:val="double" w:sz="6" w:space="0" w:color="auto"/>
              <w:right w:val="double" w:sz="6" w:space="0" w:color="auto"/>
            </w:tcBorders>
          </w:tcPr>
          <w:p w14:paraId="206C119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b/>
                <w:spacing w:val="-1"/>
                <w:sz w:val="16"/>
                <w:szCs w:val="16"/>
              </w:rPr>
            </w:pPr>
          </w:p>
        </w:tc>
        <w:tc>
          <w:tcPr>
            <w:tcW w:w="1701" w:type="dxa"/>
            <w:tcBorders>
              <w:bottom w:val="double" w:sz="6" w:space="0" w:color="auto"/>
              <w:right w:val="double" w:sz="6" w:space="0" w:color="auto"/>
            </w:tcBorders>
          </w:tcPr>
          <w:p w14:paraId="6CEC7A1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b/>
                <w:spacing w:val="-1"/>
                <w:sz w:val="16"/>
                <w:szCs w:val="16"/>
              </w:rPr>
            </w:pPr>
          </w:p>
        </w:tc>
      </w:tr>
      <w:tr w:rsidR="00213A2C" w:rsidRPr="00B927A4" w14:paraId="19BF5F16" w14:textId="77777777" w:rsidTr="00213A2C">
        <w:tblPrEx>
          <w:tblCellMar>
            <w:left w:w="120" w:type="dxa"/>
            <w:right w:w="120" w:type="dxa"/>
          </w:tblCellMar>
        </w:tblPrEx>
        <w:tc>
          <w:tcPr>
            <w:tcW w:w="851" w:type="dxa"/>
            <w:gridSpan w:val="2"/>
            <w:tcBorders>
              <w:left w:val="double" w:sz="6" w:space="0" w:color="auto"/>
            </w:tcBorders>
          </w:tcPr>
          <w:p w14:paraId="01D11EC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left w:val="double" w:sz="6" w:space="0" w:color="auto"/>
            </w:tcBorders>
          </w:tcPr>
          <w:p w14:paraId="4E960B3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left w:val="double" w:sz="6" w:space="0" w:color="auto"/>
            </w:tcBorders>
          </w:tcPr>
          <w:p w14:paraId="6D37FCF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left w:val="single" w:sz="6" w:space="0" w:color="auto"/>
            </w:tcBorders>
          </w:tcPr>
          <w:p w14:paraId="17EF857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left w:val="double" w:sz="6" w:space="0" w:color="auto"/>
            </w:tcBorders>
          </w:tcPr>
          <w:p w14:paraId="5AE0E17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left w:val="single" w:sz="6" w:space="0" w:color="auto"/>
            </w:tcBorders>
          </w:tcPr>
          <w:p w14:paraId="0035FF3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left w:val="double" w:sz="6" w:space="0" w:color="auto"/>
              <w:right w:val="double" w:sz="6" w:space="0" w:color="auto"/>
            </w:tcBorders>
          </w:tcPr>
          <w:p w14:paraId="328C1C1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Pr>
          <w:p w14:paraId="441FADE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left w:val="single" w:sz="6" w:space="0" w:color="auto"/>
              <w:right w:val="double" w:sz="6" w:space="0" w:color="auto"/>
            </w:tcBorders>
          </w:tcPr>
          <w:p w14:paraId="0E5E3FB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Pr>
          <w:p w14:paraId="50BF4B6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left w:val="single" w:sz="6" w:space="0" w:color="auto"/>
              <w:right w:val="double" w:sz="6" w:space="0" w:color="auto"/>
            </w:tcBorders>
          </w:tcPr>
          <w:p w14:paraId="55BCE59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Pr>
          <w:p w14:paraId="4AC1BC8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left w:val="single" w:sz="6" w:space="0" w:color="auto"/>
            </w:tcBorders>
          </w:tcPr>
          <w:p w14:paraId="0569A67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left w:val="single" w:sz="6" w:space="0" w:color="auto"/>
              <w:right w:val="double" w:sz="6" w:space="0" w:color="auto"/>
            </w:tcBorders>
          </w:tcPr>
          <w:p w14:paraId="4123D18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right w:val="double" w:sz="6" w:space="0" w:color="auto"/>
            </w:tcBorders>
          </w:tcPr>
          <w:p w14:paraId="162A585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right w:val="double" w:sz="6" w:space="0" w:color="auto"/>
            </w:tcBorders>
          </w:tcPr>
          <w:p w14:paraId="718C378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right w:val="double" w:sz="6" w:space="0" w:color="auto"/>
            </w:tcBorders>
          </w:tcPr>
          <w:p w14:paraId="2B3B372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0CF46D63"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5DAF7DE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307DAF2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60B559C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28416B9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70C8C92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61D9ECC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005E7C9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43DF94D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735CBA1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475CEED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53443F5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7C3FE3F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3A1A883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26E8E3C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4F77007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2358BCE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1E53B93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25F1EE8C"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1815279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7E9D71C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79238F0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6433CDF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3270B03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28258FD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440B0A3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76947A4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392512B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5E4C1DF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2925A57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244A2DF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4CD2EF4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5331F1E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3E1ACBF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2510A046"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09E15E7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25741089"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4D59393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72F5C4D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598CF9E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105B89D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22C44AD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5F78AB8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3358DFB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738C280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62E7A01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6AF5FB7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79BC949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529C493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50B22C1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5E51FEB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0AA496B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67365F6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2BF65DA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49AC15E4"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70AB201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6FFA5D9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72E5E1F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7819C446"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0F8B96A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791F942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4B83964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1229E4D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6C3BB50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499DF4D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4BC5ACD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7984E02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7997A0B6"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48FD6C0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3D259FB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676CBCD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5194848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3E1B5D35"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69D09B2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02DDF4E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1808F67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2AE3338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693DABA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7DEEC9B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4CBD0CC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0B9F267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7392D78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63642AE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14CE519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4A1D8CE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6AB3AC2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09E0F28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15C5A12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59C51DA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7A0F757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126D1740"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3AD38C9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60C5BB5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1CB02EA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2DFA8BC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7FD1BD6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2C5B8C9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4F2CEF4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09E4EEC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2EAA378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5320A542"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2670BAC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4DBB44E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244F4A7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10E90E2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57CFB95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57071986"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466B035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5D5F7D24" w14:textId="77777777" w:rsidTr="00213A2C">
        <w:tblPrEx>
          <w:tblCellMar>
            <w:left w:w="120" w:type="dxa"/>
            <w:right w:w="120" w:type="dxa"/>
          </w:tblCellMar>
        </w:tblPrEx>
        <w:tc>
          <w:tcPr>
            <w:tcW w:w="851" w:type="dxa"/>
            <w:gridSpan w:val="2"/>
            <w:tcBorders>
              <w:top w:val="single" w:sz="6" w:space="0" w:color="auto"/>
              <w:left w:val="double" w:sz="6" w:space="0" w:color="auto"/>
            </w:tcBorders>
          </w:tcPr>
          <w:p w14:paraId="7E21AD8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tcBorders>
          </w:tcPr>
          <w:p w14:paraId="6D0A94C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tcBorders>
          </w:tcPr>
          <w:p w14:paraId="49FB02B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tcBorders>
          </w:tcPr>
          <w:p w14:paraId="3DA31D2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tcBorders>
          </w:tcPr>
          <w:p w14:paraId="35A1A394"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tcBorders>
          </w:tcPr>
          <w:p w14:paraId="150D32C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right w:val="double" w:sz="6" w:space="0" w:color="auto"/>
            </w:tcBorders>
          </w:tcPr>
          <w:p w14:paraId="3661666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tcBorders>
          </w:tcPr>
          <w:p w14:paraId="51A2C8D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6D000C9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35EFDBF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right w:val="double" w:sz="6" w:space="0" w:color="auto"/>
            </w:tcBorders>
          </w:tcPr>
          <w:p w14:paraId="4DD5735C"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tcBorders>
          </w:tcPr>
          <w:p w14:paraId="10B75CD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tcBorders>
          </w:tcPr>
          <w:p w14:paraId="6571D52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right w:val="double" w:sz="6" w:space="0" w:color="auto"/>
            </w:tcBorders>
          </w:tcPr>
          <w:p w14:paraId="5B0B680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right w:val="double" w:sz="6" w:space="0" w:color="auto"/>
            </w:tcBorders>
          </w:tcPr>
          <w:p w14:paraId="5FA3929D"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right w:val="double" w:sz="6" w:space="0" w:color="auto"/>
            </w:tcBorders>
          </w:tcPr>
          <w:p w14:paraId="213C6D5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right w:val="double" w:sz="6" w:space="0" w:color="auto"/>
            </w:tcBorders>
          </w:tcPr>
          <w:p w14:paraId="263BC0C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r w:rsidR="00213A2C" w:rsidRPr="00B927A4" w14:paraId="75E83284" w14:textId="77777777" w:rsidTr="00213A2C">
        <w:tblPrEx>
          <w:tblCellMar>
            <w:left w:w="120" w:type="dxa"/>
            <w:right w:w="120" w:type="dxa"/>
          </w:tblCellMar>
        </w:tblPrEx>
        <w:tc>
          <w:tcPr>
            <w:tcW w:w="851" w:type="dxa"/>
            <w:gridSpan w:val="2"/>
            <w:tcBorders>
              <w:top w:val="single" w:sz="6" w:space="0" w:color="auto"/>
              <w:left w:val="double" w:sz="6" w:space="0" w:color="auto"/>
              <w:bottom w:val="double" w:sz="6" w:space="0" w:color="auto"/>
            </w:tcBorders>
          </w:tcPr>
          <w:p w14:paraId="3350A8AB"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77" w:type="dxa"/>
            <w:tcBorders>
              <w:top w:val="single" w:sz="6" w:space="0" w:color="auto"/>
              <w:left w:val="double" w:sz="6" w:space="0" w:color="auto"/>
              <w:bottom w:val="double" w:sz="6" w:space="0" w:color="auto"/>
            </w:tcBorders>
          </w:tcPr>
          <w:p w14:paraId="386372C0"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687" w:type="dxa"/>
            <w:tcBorders>
              <w:top w:val="single" w:sz="6" w:space="0" w:color="auto"/>
              <w:left w:val="double" w:sz="6" w:space="0" w:color="auto"/>
              <w:bottom w:val="double" w:sz="6" w:space="0" w:color="auto"/>
            </w:tcBorders>
          </w:tcPr>
          <w:p w14:paraId="5A36064A"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69" w:type="dxa"/>
            <w:tcBorders>
              <w:top w:val="single" w:sz="6" w:space="0" w:color="auto"/>
              <w:left w:val="single" w:sz="6" w:space="0" w:color="auto"/>
              <w:bottom w:val="double" w:sz="6" w:space="0" w:color="auto"/>
            </w:tcBorders>
          </w:tcPr>
          <w:p w14:paraId="659C3D3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15" w:type="dxa"/>
            <w:tcBorders>
              <w:top w:val="single" w:sz="6" w:space="0" w:color="auto"/>
              <w:left w:val="double" w:sz="6" w:space="0" w:color="auto"/>
              <w:bottom w:val="double" w:sz="6" w:space="0" w:color="auto"/>
            </w:tcBorders>
          </w:tcPr>
          <w:p w14:paraId="35E55C3F"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572" w:type="dxa"/>
            <w:tcBorders>
              <w:top w:val="single" w:sz="6" w:space="0" w:color="auto"/>
              <w:left w:val="single" w:sz="6" w:space="0" w:color="auto"/>
              <w:bottom w:val="double" w:sz="6" w:space="0" w:color="auto"/>
            </w:tcBorders>
          </w:tcPr>
          <w:p w14:paraId="3B109AA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002" w:type="dxa"/>
            <w:tcBorders>
              <w:top w:val="single" w:sz="6" w:space="0" w:color="auto"/>
              <w:left w:val="double" w:sz="6" w:space="0" w:color="auto"/>
              <w:bottom w:val="double" w:sz="6" w:space="0" w:color="auto"/>
              <w:right w:val="double" w:sz="6" w:space="0" w:color="auto"/>
            </w:tcBorders>
          </w:tcPr>
          <w:p w14:paraId="0708DFBE"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48" w:type="dxa"/>
            <w:gridSpan w:val="2"/>
            <w:tcBorders>
              <w:top w:val="single" w:sz="6" w:space="0" w:color="auto"/>
              <w:bottom w:val="double" w:sz="6" w:space="0" w:color="auto"/>
            </w:tcBorders>
          </w:tcPr>
          <w:p w14:paraId="7A7C39E9"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bottom w:val="double" w:sz="6" w:space="0" w:color="auto"/>
              <w:right w:val="double" w:sz="6" w:space="0" w:color="auto"/>
            </w:tcBorders>
          </w:tcPr>
          <w:p w14:paraId="0AC6A13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bottom w:val="double" w:sz="6" w:space="0" w:color="auto"/>
            </w:tcBorders>
          </w:tcPr>
          <w:p w14:paraId="0122D74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bottom w:val="double" w:sz="6" w:space="0" w:color="auto"/>
              <w:right w:val="double" w:sz="6" w:space="0" w:color="auto"/>
            </w:tcBorders>
          </w:tcPr>
          <w:p w14:paraId="30A8952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0" w:type="dxa"/>
            <w:tcBorders>
              <w:top w:val="single" w:sz="6" w:space="0" w:color="auto"/>
              <w:bottom w:val="double" w:sz="6" w:space="0" w:color="auto"/>
            </w:tcBorders>
          </w:tcPr>
          <w:p w14:paraId="4E6EF061"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709" w:type="dxa"/>
            <w:tcBorders>
              <w:top w:val="single" w:sz="6" w:space="0" w:color="auto"/>
              <w:left w:val="single" w:sz="6" w:space="0" w:color="auto"/>
              <w:bottom w:val="double" w:sz="6" w:space="0" w:color="auto"/>
            </w:tcBorders>
          </w:tcPr>
          <w:p w14:paraId="11089E35"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851" w:type="dxa"/>
            <w:tcBorders>
              <w:top w:val="single" w:sz="6" w:space="0" w:color="auto"/>
              <w:left w:val="single" w:sz="6" w:space="0" w:color="auto"/>
              <w:bottom w:val="double" w:sz="6" w:space="0" w:color="auto"/>
              <w:right w:val="double" w:sz="6" w:space="0" w:color="auto"/>
            </w:tcBorders>
          </w:tcPr>
          <w:p w14:paraId="12AA14B3"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134" w:type="dxa"/>
            <w:tcBorders>
              <w:top w:val="single" w:sz="6" w:space="0" w:color="auto"/>
              <w:bottom w:val="double" w:sz="6" w:space="0" w:color="auto"/>
              <w:right w:val="double" w:sz="6" w:space="0" w:color="auto"/>
            </w:tcBorders>
          </w:tcPr>
          <w:p w14:paraId="21E8C86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992" w:type="dxa"/>
            <w:tcBorders>
              <w:top w:val="single" w:sz="6" w:space="0" w:color="auto"/>
              <w:bottom w:val="double" w:sz="6" w:space="0" w:color="auto"/>
              <w:right w:val="double" w:sz="6" w:space="0" w:color="auto"/>
            </w:tcBorders>
          </w:tcPr>
          <w:p w14:paraId="7A5D0C27"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c>
          <w:tcPr>
            <w:tcW w:w="1701" w:type="dxa"/>
            <w:tcBorders>
              <w:top w:val="single" w:sz="6" w:space="0" w:color="auto"/>
              <w:bottom w:val="double" w:sz="6" w:space="0" w:color="auto"/>
              <w:right w:val="double" w:sz="6" w:space="0" w:color="auto"/>
            </w:tcBorders>
          </w:tcPr>
          <w:p w14:paraId="5EA83438" w14:textId="77777777" w:rsidR="00213A2C" w:rsidRPr="00B927A4" w:rsidRDefault="00213A2C" w:rsidP="00213A2C">
            <w:pPr>
              <w:tabs>
                <w:tab w:val="left" w:pos="-720"/>
                <w:tab w:val="left" w:pos="0"/>
                <w:tab w:val="left" w:pos="15120"/>
                <w:tab w:val="left" w:pos="15840"/>
                <w:tab w:val="left" w:pos="16560"/>
                <w:tab w:val="left" w:pos="17280"/>
                <w:tab w:val="left" w:pos="18000"/>
                <w:tab w:val="left" w:pos="18720"/>
                <w:tab w:val="left" w:pos="30829"/>
              </w:tabs>
              <w:suppressAutoHyphens/>
              <w:spacing w:before="90" w:after="54"/>
              <w:rPr>
                <w:spacing w:val="-2"/>
                <w:sz w:val="16"/>
                <w:szCs w:val="16"/>
              </w:rPr>
            </w:pPr>
          </w:p>
        </w:tc>
      </w:tr>
    </w:tbl>
    <w:p w14:paraId="67E6DA8D" w14:textId="77777777" w:rsidR="00213A2C" w:rsidRPr="00B927A4" w:rsidRDefault="00213A2C" w:rsidP="00213A2C">
      <w:pPr>
        <w:tabs>
          <w:tab w:val="left" w:pos="-720"/>
          <w:tab w:val="left" w:pos="0"/>
          <w:tab w:val="left" w:pos="452"/>
          <w:tab w:val="left" w:pos="1440"/>
        </w:tabs>
        <w:suppressAutoHyphens/>
        <w:ind w:left="452" w:hanging="452"/>
        <w:rPr>
          <w:b/>
          <w:spacing w:val="-2"/>
        </w:rPr>
      </w:pPr>
    </w:p>
    <w:p w14:paraId="1E5B42F1" w14:textId="77777777" w:rsidR="00213A2C" w:rsidRPr="00B927A4" w:rsidRDefault="00213A2C" w:rsidP="00213A2C">
      <w:pPr>
        <w:tabs>
          <w:tab w:val="left" w:pos="-720"/>
          <w:tab w:val="left" w:pos="0"/>
          <w:tab w:val="left" w:pos="452"/>
          <w:tab w:val="left" w:pos="1440"/>
        </w:tabs>
        <w:suppressAutoHyphens/>
        <w:ind w:left="452" w:hanging="452"/>
        <w:rPr>
          <w:b/>
          <w:spacing w:val="-2"/>
        </w:rPr>
      </w:pPr>
      <w:r w:rsidRPr="00B927A4">
        <w:rPr>
          <w:b/>
          <w:spacing w:val="-2"/>
        </w:rPr>
        <w:t xml:space="preserve">The details shown above are an accurate record of the </w:t>
      </w:r>
      <w:proofErr w:type="gramStart"/>
      <w:r w:rsidRPr="00B927A4">
        <w:rPr>
          <w:b/>
          <w:spacing w:val="-2"/>
        </w:rPr>
        <w:t>days</w:t>
      </w:r>
      <w:proofErr w:type="gramEnd"/>
      <w:r w:rsidRPr="00B927A4">
        <w:rPr>
          <w:b/>
          <w:spacing w:val="-2"/>
        </w:rPr>
        <w:t xml:space="preserve"> activities on site.</w:t>
      </w:r>
    </w:p>
    <w:p w14:paraId="2E23EAB9" w14:textId="77777777" w:rsidR="00213A2C" w:rsidRPr="00B927A4" w:rsidRDefault="00213A2C" w:rsidP="00213A2C">
      <w:pPr>
        <w:tabs>
          <w:tab w:val="right" w:pos="15135"/>
        </w:tabs>
        <w:suppressAutoHyphens/>
        <w:jc w:val="left"/>
        <w:rPr>
          <w:b/>
          <w:spacing w:val="-2"/>
        </w:rPr>
      </w:pPr>
    </w:p>
    <w:p w14:paraId="32F08683" w14:textId="77777777" w:rsidR="00213A2C" w:rsidRPr="00B927A4" w:rsidRDefault="00213A2C" w:rsidP="00213A2C">
      <w:pPr>
        <w:tabs>
          <w:tab w:val="right" w:pos="15135"/>
        </w:tabs>
        <w:suppressAutoHyphens/>
        <w:jc w:val="left"/>
        <w:rPr>
          <w:b/>
          <w:spacing w:val="-2"/>
        </w:rPr>
      </w:pPr>
      <w:r w:rsidRPr="00B927A4">
        <w:rPr>
          <w:b/>
          <w:spacing w:val="-2"/>
        </w:rPr>
        <w:t>Contractor's Representative……………………………………………………</w:t>
      </w:r>
    </w:p>
    <w:p w14:paraId="5065181F" w14:textId="77777777" w:rsidR="00213A2C" w:rsidRPr="00B927A4" w:rsidRDefault="00213A2C" w:rsidP="00213A2C">
      <w:pPr>
        <w:tabs>
          <w:tab w:val="right" w:pos="15135"/>
        </w:tabs>
        <w:suppressAutoHyphens/>
        <w:jc w:val="left"/>
        <w:rPr>
          <w:b/>
          <w:spacing w:val="-2"/>
        </w:rPr>
      </w:pPr>
    </w:p>
    <w:p w14:paraId="251201C1" w14:textId="7D1A2273" w:rsidR="00B34C71" w:rsidRPr="00107FDF" w:rsidRDefault="00213A2C" w:rsidP="00107FDF">
      <w:pPr>
        <w:tabs>
          <w:tab w:val="right" w:pos="15135"/>
        </w:tabs>
        <w:suppressAutoHyphens/>
        <w:jc w:val="left"/>
        <w:rPr>
          <w:b/>
          <w:spacing w:val="-2"/>
        </w:rPr>
      </w:pPr>
      <w:r w:rsidRPr="00B927A4">
        <w:rPr>
          <w:b/>
          <w:spacing w:val="-2"/>
        </w:rPr>
        <w:t>Acknowledged by DPTI’s Representative……………………………………………….</w:t>
      </w:r>
    </w:p>
    <w:sectPr w:rsidR="00B34C71" w:rsidRPr="00107FDF" w:rsidSect="00107FDF">
      <w:headerReference w:type="default" r:id="rId21"/>
      <w:footerReference w:type="default" r:id="rId22"/>
      <w:pgSz w:w="16838" w:h="11906" w:orient="landscape"/>
      <w:pgMar w:top="1418" w:right="851" w:bottom="851" w:left="567"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213A2C" w:rsidRDefault="00213A2C">
      <w:r>
        <w:separator/>
      </w:r>
    </w:p>
  </w:endnote>
  <w:endnote w:type="continuationSeparator" w:id="0">
    <w:p w14:paraId="067F3713" w14:textId="77777777" w:rsidR="00213A2C" w:rsidRDefault="0021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474F" w14:textId="77777777" w:rsidR="00213A2C" w:rsidRDefault="00213A2C" w:rsidP="0021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7D015D90" w14:textId="77777777" w:rsidR="00213A2C" w:rsidRDefault="00213A2C" w:rsidP="00213A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FA1D" w14:textId="77777777" w:rsidR="00213A2C" w:rsidRPr="00000328" w:rsidRDefault="00213A2C" w:rsidP="00213A2C">
    <w:pPr>
      <w:pStyle w:val="Footer"/>
      <w:tabs>
        <w:tab w:val="right" w:pos="9356"/>
      </w:tabs>
      <w:rPr>
        <w:rFonts w:ascii="Arial" w:hAnsi="Arial"/>
        <w:sz w:val="18"/>
      </w:rPr>
    </w:pPr>
  </w:p>
  <w:p w14:paraId="133EE3EF" w14:textId="06685CD6" w:rsidR="00213A2C" w:rsidRPr="00000328" w:rsidRDefault="00213A2C" w:rsidP="00107FDF">
    <w:pPr>
      <w:pStyle w:val="Footer"/>
      <w:pBdr>
        <w:top w:val="single" w:sz="4" w:space="1" w:color="auto"/>
      </w:pBdr>
      <w:tabs>
        <w:tab w:val="clear" w:pos="8222"/>
        <w:tab w:val="right" w:pos="9355"/>
      </w:tabs>
      <w:rPr>
        <w:rFonts w:ascii="Arial" w:hAnsi="Arial"/>
        <w:sz w:val="18"/>
      </w:rPr>
    </w:pPr>
    <w:r w:rsidRPr="00000328">
      <w:rPr>
        <w:rFonts w:ascii="Arial" w:hAnsi="Arial"/>
        <w:sz w:val="18"/>
      </w:rPr>
      <w:t>DPTI</w:t>
    </w:r>
    <w:r w:rsidRPr="00000328">
      <w:rPr>
        <w:rFonts w:ascii="Arial" w:hAnsi="Arial"/>
        <w:sz w:val="18"/>
      </w:rPr>
      <w:tab/>
    </w:r>
    <w:r w:rsidR="00107FDF">
      <w:rPr>
        <w:rFonts w:ascii="Arial" w:hAnsi="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213A2C" w:rsidRPr="00C66580" w:rsidRDefault="00213A2C" w:rsidP="00C66580">
    <w:pPr>
      <w:tabs>
        <w:tab w:val="right" w:pos="9356"/>
      </w:tabs>
    </w:pPr>
  </w:p>
  <w:p w14:paraId="6CCD9394" w14:textId="77777777" w:rsidR="00213A2C" w:rsidRPr="00C66580" w:rsidRDefault="00213A2C"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213A2C" w:rsidRDefault="00213A2C">
      <w:r>
        <w:separator/>
      </w:r>
    </w:p>
  </w:footnote>
  <w:footnote w:type="continuationSeparator" w:id="0">
    <w:p w14:paraId="7ED81CEF" w14:textId="77777777" w:rsidR="00213A2C" w:rsidRDefault="0021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874" w14:textId="0069FEF5" w:rsidR="00213A2C" w:rsidRPr="001A6EF9" w:rsidRDefault="00213A2C" w:rsidP="00213A2C">
    <w:pPr>
      <w:tabs>
        <w:tab w:val="right" w:pos="9356"/>
      </w:tabs>
      <w:jc w:val="left"/>
    </w:pPr>
    <w:r w:rsidRPr="001A6EF9">
      <w:t xml:space="preserve">Edition: </w:t>
    </w:r>
    <w:r w:rsidR="00B51E68">
      <w:t>July 2017</w:t>
    </w:r>
    <w:r w:rsidRPr="001A6EF9">
      <w:tab/>
      <w:t>Part CH10 Construction – General Provisions</w:t>
    </w:r>
  </w:p>
  <w:p w14:paraId="55CA104F" w14:textId="77777777" w:rsidR="00213A2C" w:rsidRDefault="00213A2C">
    <w:pPr>
      <w:tabs>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6ADAE511" w:rsidR="00213A2C" w:rsidRPr="00C66580" w:rsidRDefault="00213A2C" w:rsidP="00C66580">
    <w:pPr>
      <w:tabs>
        <w:tab w:val="right" w:pos="9356"/>
      </w:tabs>
      <w:spacing w:after="0"/>
      <w:jc w:val="left"/>
    </w:pPr>
    <w:r w:rsidRPr="00C66580">
      <w:t xml:space="preserve">Edition: </w:t>
    </w:r>
    <w:r>
      <w:t>March 2017</w:t>
    </w:r>
    <w:r w:rsidRPr="00C66580">
      <w:tab/>
    </w:r>
    <w:r>
      <w:t>Part CH60 Community Engagement Obligations</w:t>
    </w:r>
  </w:p>
  <w:p w14:paraId="149EAC07" w14:textId="77777777" w:rsidR="00213A2C" w:rsidRDefault="00213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103"/>
    <w:multiLevelType w:val="hybridMultilevel"/>
    <w:tmpl w:val="BA90B53C"/>
    <w:lvl w:ilvl="0" w:tplc="3D94D10E">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2" w15:restartNumberingAfterBreak="0">
    <w:nsid w:val="0C607AFA"/>
    <w:multiLevelType w:val="hybridMultilevel"/>
    <w:tmpl w:val="ED60FFD6"/>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4" w15:restartNumberingAfterBreak="0">
    <w:nsid w:val="22067CE5"/>
    <w:multiLevelType w:val="hybridMultilevel"/>
    <w:tmpl w:val="915A98FE"/>
    <w:lvl w:ilvl="0" w:tplc="E84E7C5A">
      <w:start w:val="1"/>
      <w:numFmt w:val="lowerRoman"/>
      <w:lvlText w:val="(%1)"/>
      <w:lvlJc w:val="left"/>
      <w:pPr>
        <w:tabs>
          <w:tab w:val="num" w:pos="22"/>
        </w:tabs>
        <w:ind w:left="22" w:hanging="360"/>
      </w:pPr>
      <w:rPr>
        <w:rFonts w:hint="default"/>
      </w:rPr>
    </w:lvl>
    <w:lvl w:ilvl="1" w:tplc="FFFFFFFF" w:tentative="1">
      <w:start w:val="1"/>
      <w:numFmt w:val="bullet"/>
      <w:lvlText w:val="o"/>
      <w:lvlJc w:val="left"/>
      <w:pPr>
        <w:tabs>
          <w:tab w:val="num" w:pos="742"/>
        </w:tabs>
        <w:ind w:left="742" w:hanging="360"/>
      </w:pPr>
      <w:rPr>
        <w:rFonts w:ascii="Courier New" w:hAnsi="Courier New" w:hint="default"/>
      </w:rPr>
    </w:lvl>
    <w:lvl w:ilvl="2" w:tplc="FFFFFFFF" w:tentative="1">
      <w:start w:val="1"/>
      <w:numFmt w:val="bullet"/>
      <w:lvlText w:val=""/>
      <w:lvlJc w:val="left"/>
      <w:pPr>
        <w:tabs>
          <w:tab w:val="num" w:pos="1462"/>
        </w:tabs>
        <w:ind w:left="1462" w:hanging="360"/>
      </w:pPr>
      <w:rPr>
        <w:rFonts w:ascii="Wingdings" w:hAnsi="Wingdings" w:hint="default"/>
      </w:rPr>
    </w:lvl>
    <w:lvl w:ilvl="3" w:tplc="FFFFFFFF" w:tentative="1">
      <w:start w:val="1"/>
      <w:numFmt w:val="bullet"/>
      <w:lvlText w:val=""/>
      <w:lvlJc w:val="left"/>
      <w:pPr>
        <w:tabs>
          <w:tab w:val="num" w:pos="2182"/>
        </w:tabs>
        <w:ind w:left="2182" w:hanging="360"/>
      </w:pPr>
      <w:rPr>
        <w:rFonts w:ascii="Symbol" w:hAnsi="Symbol" w:hint="default"/>
      </w:rPr>
    </w:lvl>
    <w:lvl w:ilvl="4" w:tplc="FFFFFFFF" w:tentative="1">
      <w:start w:val="1"/>
      <w:numFmt w:val="bullet"/>
      <w:lvlText w:val="o"/>
      <w:lvlJc w:val="left"/>
      <w:pPr>
        <w:tabs>
          <w:tab w:val="num" w:pos="2902"/>
        </w:tabs>
        <w:ind w:left="2902" w:hanging="360"/>
      </w:pPr>
      <w:rPr>
        <w:rFonts w:ascii="Courier New" w:hAnsi="Courier New" w:hint="default"/>
      </w:rPr>
    </w:lvl>
    <w:lvl w:ilvl="5" w:tplc="FFFFFFFF" w:tentative="1">
      <w:start w:val="1"/>
      <w:numFmt w:val="bullet"/>
      <w:lvlText w:val=""/>
      <w:lvlJc w:val="left"/>
      <w:pPr>
        <w:tabs>
          <w:tab w:val="num" w:pos="3622"/>
        </w:tabs>
        <w:ind w:left="3622" w:hanging="360"/>
      </w:pPr>
      <w:rPr>
        <w:rFonts w:ascii="Wingdings" w:hAnsi="Wingdings" w:hint="default"/>
      </w:rPr>
    </w:lvl>
    <w:lvl w:ilvl="6" w:tplc="FFFFFFFF" w:tentative="1">
      <w:start w:val="1"/>
      <w:numFmt w:val="bullet"/>
      <w:lvlText w:val=""/>
      <w:lvlJc w:val="left"/>
      <w:pPr>
        <w:tabs>
          <w:tab w:val="num" w:pos="4342"/>
        </w:tabs>
        <w:ind w:left="4342" w:hanging="360"/>
      </w:pPr>
      <w:rPr>
        <w:rFonts w:ascii="Symbol" w:hAnsi="Symbol" w:hint="default"/>
      </w:rPr>
    </w:lvl>
    <w:lvl w:ilvl="7" w:tplc="FFFFFFFF" w:tentative="1">
      <w:start w:val="1"/>
      <w:numFmt w:val="bullet"/>
      <w:lvlText w:val="o"/>
      <w:lvlJc w:val="left"/>
      <w:pPr>
        <w:tabs>
          <w:tab w:val="num" w:pos="5062"/>
        </w:tabs>
        <w:ind w:left="5062" w:hanging="360"/>
      </w:pPr>
      <w:rPr>
        <w:rFonts w:ascii="Courier New" w:hAnsi="Courier New" w:hint="default"/>
      </w:rPr>
    </w:lvl>
    <w:lvl w:ilvl="8" w:tplc="FFFFFFFF" w:tentative="1">
      <w:start w:val="1"/>
      <w:numFmt w:val="bullet"/>
      <w:lvlText w:val=""/>
      <w:lvlJc w:val="left"/>
      <w:pPr>
        <w:tabs>
          <w:tab w:val="num" w:pos="5782"/>
        </w:tabs>
        <w:ind w:left="5782" w:hanging="360"/>
      </w:pPr>
      <w:rPr>
        <w:rFonts w:ascii="Wingdings" w:hAnsi="Wingdings" w:hint="default"/>
      </w:rPr>
    </w:lvl>
  </w:abstractNum>
  <w:abstractNum w:abstractNumId="5"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3942677C"/>
    <w:multiLevelType w:val="hybridMultilevel"/>
    <w:tmpl w:val="7326DC5E"/>
    <w:lvl w:ilvl="0" w:tplc="F8E6347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426B5165"/>
    <w:multiLevelType w:val="hybridMultilevel"/>
    <w:tmpl w:val="915A98FE"/>
    <w:lvl w:ilvl="0" w:tplc="E84E7C5A">
      <w:start w:val="1"/>
      <w:numFmt w:val="lowerRoman"/>
      <w:lvlText w:val="(%1)"/>
      <w:lvlJc w:val="left"/>
      <w:pPr>
        <w:tabs>
          <w:tab w:val="num" w:pos="1778"/>
        </w:tabs>
        <w:ind w:left="1778" w:hanging="360"/>
      </w:pPr>
      <w:rPr>
        <w:rFonts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3"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3"/>
  </w:num>
  <w:num w:numId="4">
    <w:abstractNumId w:val="11"/>
  </w:num>
  <w:num w:numId="5">
    <w:abstractNumId w:val="10"/>
  </w:num>
  <w:num w:numId="6">
    <w:abstractNumId w:val="1"/>
  </w:num>
  <w:num w:numId="7">
    <w:abstractNumId w:val="9"/>
  </w:num>
  <w:num w:numId="8">
    <w:abstractNumId w:val="6"/>
  </w:num>
  <w:num w:numId="9">
    <w:abstractNumId w:val="3"/>
  </w:num>
  <w:num w:numId="10">
    <w:abstractNumId w:val="4"/>
  </w:num>
  <w:num w:numId="11">
    <w:abstractNumId w:val="7"/>
  </w:num>
  <w:num w:numId="12">
    <w:abstractNumId w:val="2"/>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0"/>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3F1B"/>
    <w:rsid w:val="000C43EB"/>
    <w:rsid w:val="000D0EC3"/>
    <w:rsid w:val="000D522D"/>
    <w:rsid w:val="000D55E4"/>
    <w:rsid w:val="000E04AD"/>
    <w:rsid w:val="000E0D3D"/>
    <w:rsid w:val="000E1E98"/>
    <w:rsid w:val="000E2CC9"/>
    <w:rsid w:val="000E365F"/>
    <w:rsid w:val="000E3827"/>
    <w:rsid w:val="000E4177"/>
    <w:rsid w:val="000E4825"/>
    <w:rsid w:val="000E5DF3"/>
    <w:rsid w:val="000E74FA"/>
    <w:rsid w:val="000E7EB9"/>
    <w:rsid w:val="000F205B"/>
    <w:rsid w:val="000F5DBC"/>
    <w:rsid w:val="000F5F08"/>
    <w:rsid w:val="00101BD6"/>
    <w:rsid w:val="00101D87"/>
    <w:rsid w:val="0010434D"/>
    <w:rsid w:val="00105027"/>
    <w:rsid w:val="00107218"/>
    <w:rsid w:val="00107A10"/>
    <w:rsid w:val="00107E0C"/>
    <w:rsid w:val="00107FDF"/>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133A"/>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A2C"/>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5DA8"/>
    <w:rsid w:val="0023603F"/>
    <w:rsid w:val="00240B90"/>
    <w:rsid w:val="00241F3D"/>
    <w:rsid w:val="00246862"/>
    <w:rsid w:val="0024779D"/>
    <w:rsid w:val="00247C24"/>
    <w:rsid w:val="002536C0"/>
    <w:rsid w:val="002605C2"/>
    <w:rsid w:val="002617BE"/>
    <w:rsid w:val="00264E2F"/>
    <w:rsid w:val="00265772"/>
    <w:rsid w:val="002666A1"/>
    <w:rsid w:val="0027049A"/>
    <w:rsid w:val="0027168D"/>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308"/>
    <w:rsid w:val="00301480"/>
    <w:rsid w:val="0030163A"/>
    <w:rsid w:val="00316AC2"/>
    <w:rsid w:val="00320862"/>
    <w:rsid w:val="003237E5"/>
    <w:rsid w:val="00323A8C"/>
    <w:rsid w:val="0032612E"/>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655"/>
    <w:rsid w:val="004E7A16"/>
    <w:rsid w:val="004F17B0"/>
    <w:rsid w:val="004F1D27"/>
    <w:rsid w:val="004F2062"/>
    <w:rsid w:val="004F366D"/>
    <w:rsid w:val="004F4EB5"/>
    <w:rsid w:val="004F56DC"/>
    <w:rsid w:val="004F5E4F"/>
    <w:rsid w:val="004F67AD"/>
    <w:rsid w:val="004F7321"/>
    <w:rsid w:val="00500401"/>
    <w:rsid w:val="00500A4E"/>
    <w:rsid w:val="005042BC"/>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110"/>
    <w:rsid w:val="006C1655"/>
    <w:rsid w:val="006C2456"/>
    <w:rsid w:val="006C3A44"/>
    <w:rsid w:val="006D128B"/>
    <w:rsid w:val="006D267E"/>
    <w:rsid w:val="006D6B82"/>
    <w:rsid w:val="006D6BAF"/>
    <w:rsid w:val="006D7B94"/>
    <w:rsid w:val="006E1A13"/>
    <w:rsid w:val="006E3A1B"/>
    <w:rsid w:val="006E3B58"/>
    <w:rsid w:val="006E5EBF"/>
    <w:rsid w:val="006E7164"/>
    <w:rsid w:val="006F285F"/>
    <w:rsid w:val="006F3113"/>
    <w:rsid w:val="006F78D8"/>
    <w:rsid w:val="00707DA7"/>
    <w:rsid w:val="0071029C"/>
    <w:rsid w:val="00711265"/>
    <w:rsid w:val="007116C9"/>
    <w:rsid w:val="0071394E"/>
    <w:rsid w:val="00713D7C"/>
    <w:rsid w:val="007146C6"/>
    <w:rsid w:val="00715D37"/>
    <w:rsid w:val="007164B6"/>
    <w:rsid w:val="00717187"/>
    <w:rsid w:val="00717B49"/>
    <w:rsid w:val="00721256"/>
    <w:rsid w:val="00721D22"/>
    <w:rsid w:val="0072285A"/>
    <w:rsid w:val="00723623"/>
    <w:rsid w:val="007236B8"/>
    <w:rsid w:val="007237C1"/>
    <w:rsid w:val="00726169"/>
    <w:rsid w:val="00726CFA"/>
    <w:rsid w:val="00727A11"/>
    <w:rsid w:val="00730CEA"/>
    <w:rsid w:val="00731047"/>
    <w:rsid w:val="00735797"/>
    <w:rsid w:val="00735936"/>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2763"/>
    <w:rsid w:val="007E3C47"/>
    <w:rsid w:val="007E45BB"/>
    <w:rsid w:val="007E4816"/>
    <w:rsid w:val="007E53A5"/>
    <w:rsid w:val="007E612B"/>
    <w:rsid w:val="007E6A51"/>
    <w:rsid w:val="007F09D7"/>
    <w:rsid w:val="007F25B8"/>
    <w:rsid w:val="007F2946"/>
    <w:rsid w:val="007F4C4E"/>
    <w:rsid w:val="007F70B9"/>
    <w:rsid w:val="0080087B"/>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1CC0"/>
    <w:rsid w:val="00852A78"/>
    <w:rsid w:val="00852DCE"/>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E103C"/>
    <w:rsid w:val="008E112B"/>
    <w:rsid w:val="008E24DD"/>
    <w:rsid w:val="008E3E92"/>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37015"/>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755B6"/>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1E68"/>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B8E"/>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1176"/>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15B1"/>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1B43"/>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6B1A"/>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768F5"/>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4620"/>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0FFE"/>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2FE"/>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 w:type="paragraph" w:customStyle="1" w:styleId="TenderText">
    <w:name w:val="Tender Text"/>
    <w:basedOn w:val="Normal"/>
    <w:link w:val="TenderTextChar"/>
    <w:rsid w:val="00213A2C"/>
    <w:pPr>
      <w:suppressAutoHyphens/>
      <w:spacing w:after="0"/>
    </w:pPr>
    <w:rPr>
      <w:rFonts w:ascii="Times New Roman" w:hAnsi="Times New Roman" w:cs="Times New Roman"/>
      <w:sz w:val="20"/>
      <w:szCs w:val="20"/>
      <w:lang w:eastAsia="en-US"/>
    </w:rPr>
  </w:style>
  <w:style w:type="character" w:customStyle="1" w:styleId="TenderTextChar">
    <w:name w:val="Tender Text Char"/>
    <w:basedOn w:val="DefaultParagraphFont"/>
    <w:link w:val="TenderText"/>
    <w:rsid w:val="00213A2C"/>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publications.austroads.com.au/items/AP-C87-15" TargetMode="External"/><Relationship Id="rId13" Type="http://schemas.openxmlformats.org/officeDocument/2006/relationships/hyperlink" Target="http://www.scacompliance.com.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acompliance.com.au" TargetMode="External"/><Relationship Id="rId17" Type="http://schemas.openxmlformats.org/officeDocument/2006/relationships/hyperlink" Target="http://www.dpti.sa.gov.au/contractor_documents" TargetMode="External"/><Relationship Id="rId2" Type="http://schemas.openxmlformats.org/officeDocument/2006/relationships/numbering" Target="numbering.xml"/><Relationship Id="rId16" Type="http://schemas.openxmlformats.org/officeDocument/2006/relationships/hyperlink" Target="http://www.safework.sa.gov.au/show_page.jsp?id=11370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contractor_docu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ti.sa.gov.au/documents/contractsandtenders/prequalification" TargetMode="External"/><Relationship Id="rId23" Type="http://schemas.openxmlformats.org/officeDocument/2006/relationships/fontTable" Target="fontTable.xml"/><Relationship Id="rId10" Type="http://schemas.openxmlformats.org/officeDocument/2006/relationships/hyperlink" Target="http://www.earthmover.com.au/plantspec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t-specs.com.au/" TargetMode="External"/><Relationship Id="rId14" Type="http://schemas.openxmlformats.org/officeDocument/2006/relationships/hyperlink" Target="http://www.apas.gov.au/pcc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624F-2610-4084-934C-ED4409AF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60</TotalTime>
  <Pages>9</Pages>
  <Words>3801</Words>
  <Characters>21886</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GENERAL</vt:lpstr>
      <vt:lpstr>        WORKING DAYS AND HOURS OF WORK</vt:lpstr>
      <vt:lpstr>        PREQUALIFICATION AND CERTIFICATION / ACCREDITATION</vt:lpstr>
      <vt:lpstr>        RECORDING OF ACTIVITIES</vt:lpstr>
      <vt:lpstr>        CONTRACTOR'S COMPOUND AND PRINCIPAL'S REQUIREMENTS</vt:lpstr>
      <vt:lpstr>        PROPRIETARY PRODUCTS</vt:lpstr>
      <vt:lpstr>        FLOODS AND WATERWAYS</vt:lpstr>
      <vt:lpstr>        PROTECTION OF THE WORKS AND REINSTATEMENT OF DAMAGE</vt:lpstr>
      <vt:lpstr>        FIRE PREVENTION</vt:lpstr>
      <vt:lpstr>        EXPLOSIVES</vt:lpstr>
      <vt:lpstr>        VIBRATING COMPACTION EQUIPMENT</vt:lpstr>
      <vt:lpstr>        CONTROL OF FENCES AND GATES</vt:lpstr>
      <vt:lpstr>        CLEARANCES FROM LANDHOLDERS</vt:lpstr>
      <vt:lpstr>        MATERIALS</vt:lpstr>
      <vt:lpstr>        WEIGHING OF MATERIAL</vt:lpstr>
      <vt:lpstr>        HAULAGE OF MATERIALS</vt:lpstr>
      <vt:lpstr>        TESTING</vt:lpstr>
      <vt:lpstr>        MAINTENANCE OF EXISTING TRAFFICKED PAVEMENT</vt:lpstr>
      <vt:lpstr>        MEASUREMENT</vt:lpstr>
      <vt:lpstr>        HOLD POINTS</vt:lpstr>
      <vt:lpstr>        VERIFICATION REQUIREMENTS AND RECORDS</vt:lpstr>
    </vt:vector>
  </TitlesOfParts>
  <Company>Dept of Commerce</Company>
  <LinksUpToDate>false</LinksUpToDate>
  <CharactersWithSpaces>25636</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10</cp:revision>
  <cp:lastPrinted>2017-07-13T02:53:00Z</cp:lastPrinted>
  <dcterms:created xsi:type="dcterms:W3CDTF">2017-07-13T22:58:00Z</dcterms:created>
  <dcterms:modified xsi:type="dcterms:W3CDTF">2017-08-07T00:07:00Z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