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58EBC" w14:textId="77777777" w:rsidR="00C50E0B" w:rsidRDefault="00C50E0B">
      <w:pPr>
        <w:pStyle w:val="Heading1"/>
        <w:numPr>
          <w:ilvl w:val="0"/>
          <w:numId w:val="0"/>
        </w:numPr>
        <w:tabs>
          <w:tab w:val="left" w:pos="2127"/>
        </w:tabs>
        <w:spacing w:before="0" w:after="120"/>
        <w:ind w:left="2127" w:hanging="2127"/>
      </w:pPr>
      <w:r>
        <w:t>schedule 4:</w:t>
      </w:r>
      <w:r>
        <w:tab/>
        <w:t xml:space="preserve">notes on </w:t>
      </w:r>
      <w:r w:rsidR="00C3642E">
        <w:t xml:space="preserve">PUBLICATIONS, POLICIES AND </w:t>
      </w:r>
      <w:r>
        <w:t>guide notes for P</w:t>
      </w:r>
      <w:r w:rsidR="006028BD">
        <w:t>ROFESSIONAL SERVICE CONTRACTORS</w:t>
      </w:r>
    </w:p>
    <w:p w14:paraId="3EF1A760" w14:textId="77777777" w:rsidR="00FF0D25" w:rsidRPr="00FF0D25" w:rsidRDefault="00FF0D25" w:rsidP="00FF0D25">
      <w:pPr>
        <w:spacing w:after="120"/>
        <w:rPr>
          <w:vanish/>
          <w:color w:val="FF0000"/>
        </w:rPr>
      </w:pPr>
      <w:r w:rsidRPr="00FF0D25">
        <w:rPr>
          <w:vanish/>
          <w:color w:val="FF0000"/>
        </w:rPr>
        <w:t>Project managers preparing tender and contract documents must strike out items in schedule 4 that are not relevant to the services e.g. if it is not a DECD project reference to DECD requirements are not relevant.</w:t>
      </w:r>
    </w:p>
    <w:p w14:paraId="57AEE8FD" w14:textId="77777777" w:rsidR="00C50E0B" w:rsidRDefault="00C50E0B">
      <w:pPr>
        <w:pStyle w:val="BodyText"/>
      </w:pPr>
      <w:r>
        <w:t xml:space="preserve">This document is intended for use in conjunction with </w:t>
      </w:r>
      <w:r w:rsidR="006028BD">
        <w:t>MPS-12 Conditions of C</w:t>
      </w:r>
      <w:r>
        <w:t xml:space="preserve">ontract for </w:t>
      </w:r>
      <w:r w:rsidR="006028BD">
        <w:t>Minor Professional Services</w:t>
      </w:r>
      <w:r>
        <w:t xml:space="preserve">.  Terminology defined in the </w:t>
      </w:r>
      <w:r w:rsidR="006028BD">
        <w:t>c</w:t>
      </w:r>
      <w:r>
        <w:t>onditions has the same meaning in this Schedule 4.</w:t>
      </w:r>
    </w:p>
    <w:p w14:paraId="6C2D06F4" w14:textId="77777777" w:rsidR="00C50E0B" w:rsidRDefault="00C50E0B">
      <w:pPr>
        <w:spacing w:after="120"/>
      </w:pPr>
      <w:r>
        <w:t xml:space="preserve">The </w:t>
      </w:r>
      <w:r w:rsidR="006028BD" w:rsidRPr="00FC764D">
        <w:rPr>
          <w:i/>
          <w:iCs/>
        </w:rPr>
        <w:t>Contractor</w:t>
      </w:r>
      <w:r w:rsidRPr="00FC764D">
        <w:rPr>
          <w:i/>
        </w:rPr>
        <w:t xml:space="preserve"> </w:t>
      </w:r>
      <w:r>
        <w:t xml:space="preserve">shall comply with all relevant </w:t>
      </w:r>
      <w:r w:rsidR="0099260B">
        <w:t>DPTI</w:t>
      </w:r>
      <w:r>
        <w:t xml:space="preserve"> publications, policies and guide notes in carrying out the </w:t>
      </w:r>
      <w:r w:rsidR="006028BD">
        <w:t>s</w:t>
      </w:r>
      <w:r w:rsidRPr="006028BD">
        <w:rPr>
          <w:iCs/>
        </w:rPr>
        <w:t>ervices</w:t>
      </w:r>
      <w:r>
        <w:t xml:space="preserve">.  They can be found in the </w:t>
      </w:r>
      <w:r w:rsidR="0099260B">
        <w:t>DPTI</w:t>
      </w:r>
      <w:r>
        <w:t xml:space="preserve"> Building Project Information Management System library at </w:t>
      </w:r>
      <w:hyperlink r:id="rId7" w:history="1">
        <w:r>
          <w:rPr>
            <w:rStyle w:val="Hyperlink"/>
            <w:rFonts w:cs="Arial"/>
          </w:rPr>
          <w:t>http://www.bpims.sa.gov.au/bpims/library/showLibrary.do</w:t>
        </w:r>
      </w:hyperlink>
      <w:r>
        <w:t>.</w:t>
      </w:r>
    </w:p>
    <w:p w14:paraId="16709EB4" w14:textId="77777777" w:rsidR="00C50E0B" w:rsidRDefault="00C50E0B">
      <w:pPr>
        <w:spacing w:after="120"/>
      </w:pPr>
      <w:r>
        <w:t>The notes below provide an overview of information contained in the guide notes.</w:t>
      </w:r>
    </w:p>
    <w:p w14:paraId="79850DC5" w14:textId="77777777" w:rsidR="00C50E0B" w:rsidRDefault="00C50E0B">
      <w:pPr>
        <w:pStyle w:val="Heading2"/>
      </w:pPr>
      <w:bookmarkStart w:id="0" w:name="_Toc522510694"/>
      <w:bookmarkStart w:id="1" w:name="_Toc524436690"/>
      <w:bookmarkStart w:id="2" w:name="_Toc524436820"/>
      <w:bookmarkStart w:id="3" w:name="_Toc525991826"/>
      <w:r>
        <w:t>Cost Management</w:t>
      </w:r>
    </w:p>
    <w:p w14:paraId="006E291E" w14:textId="77777777" w:rsidR="00C50E0B" w:rsidRDefault="00C12A63">
      <w:r>
        <w:t xml:space="preserve">The guide note “Cost Management Reporting (G40)” </w:t>
      </w:r>
      <w:r w:rsidR="00C50E0B">
        <w:t>advise</w:t>
      </w:r>
      <w:r>
        <w:t>s</w:t>
      </w:r>
      <w:r w:rsidR="00C50E0B">
        <w:t xml:space="preserve"> on the format and required detail for cost ma</w:t>
      </w:r>
      <w:r>
        <w:t>nagement reports and the like.</w:t>
      </w:r>
    </w:p>
    <w:p w14:paraId="1D2C22C4" w14:textId="77777777" w:rsidR="00403FA1" w:rsidRDefault="00403FA1" w:rsidP="00403FA1">
      <w:pPr>
        <w:pStyle w:val="Heading2"/>
      </w:pPr>
      <w:bookmarkStart w:id="4" w:name="_Toc522510695"/>
      <w:bookmarkStart w:id="5" w:name="_Toc524436691"/>
      <w:bookmarkStart w:id="6" w:name="_Toc524436821"/>
      <w:bookmarkStart w:id="7" w:name="_Toc525991827"/>
      <w:bookmarkEnd w:id="0"/>
      <w:bookmarkEnd w:id="1"/>
      <w:bookmarkEnd w:id="2"/>
      <w:bookmarkEnd w:id="3"/>
      <w:r>
        <w:t>Critical Work Plans (CWPs)</w:t>
      </w:r>
    </w:p>
    <w:p w14:paraId="413E7BE4" w14:textId="77777777" w:rsidR="00403FA1" w:rsidRPr="00930C2D" w:rsidRDefault="00403FA1" w:rsidP="00403FA1">
      <w:r>
        <w:t>The guide note “Critical Work Plans” (G169) describes the requirements in carefully planning and documenting operations that are high or catastrophic risk, with consultation and approval from all relevant stakeholders.  The Consultant’s role is to provide assistance in identifying such risky operations and then to review CWP’s that have been prepared by the Contractor.</w:t>
      </w:r>
    </w:p>
    <w:p w14:paraId="1523B222" w14:textId="77777777" w:rsidR="00FF0D25" w:rsidRDefault="00FF0D25" w:rsidP="00FF0D25">
      <w:pPr>
        <w:pStyle w:val="Heading2"/>
      </w:pPr>
      <w:r>
        <w:t>DECD Design Standards</w:t>
      </w:r>
    </w:p>
    <w:p w14:paraId="15758B7C" w14:textId="460DF28E" w:rsidR="00FF0D25" w:rsidRDefault="00FF0D25" w:rsidP="00FF0D25">
      <w:pPr>
        <w:jc w:val="left"/>
      </w:pPr>
      <w:r w:rsidRPr="008C7767">
        <w:t xml:space="preserve">Where the project on which the </w:t>
      </w:r>
      <w:r>
        <w:rPr>
          <w:i/>
          <w:iCs/>
        </w:rPr>
        <w:t>Contractor</w:t>
      </w:r>
      <w:r w:rsidRPr="008C7767">
        <w:t xml:space="preserve"> is providing services is a project for the Department </w:t>
      </w:r>
      <w:r>
        <w:t xml:space="preserve">for </w:t>
      </w:r>
      <w:r w:rsidRPr="008C7767">
        <w:t>Education and Child</w:t>
      </w:r>
      <w:r>
        <w:t xml:space="preserve"> Development</w:t>
      </w:r>
      <w:r w:rsidRPr="008C7767">
        <w:t xml:space="preserve"> refer to the “</w:t>
      </w:r>
      <w:r>
        <w:t>DECD</w:t>
      </w:r>
      <w:r w:rsidRPr="008C7767">
        <w:t xml:space="preserve"> Facilities </w:t>
      </w:r>
      <w:r>
        <w:t>Design Standards and Guidelines</w:t>
      </w:r>
      <w:r w:rsidRPr="008C7767">
        <w:t>”</w:t>
      </w:r>
    </w:p>
    <w:p w14:paraId="5974D250" w14:textId="77777777" w:rsidR="00FF0D25" w:rsidRDefault="00FF0D25" w:rsidP="00FF0D25">
      <w:pPr>
        <w:pStyle w:val="Heading2"/>
      </w:pPr>
      <w:bookmarkStart w:id="8" w:name="_Toc522510698"/>
      <w:bookmarkStart w:id="9" w:name="_Toc524436694"/>
      <w:bookmarkStart w:id="10" w:name="_Toc524436824"/>
      <w:bookmarkStart w:id="11" w:name="_Toc525991830"/>
      <w:bookmarkStart w:id="12" w:name="_Toc521840914"/>
      <w:bookmarkStart w:id="13" w:name="_Toc521840916"/>
      <w:bookmarkStart w:id="14" w:name="_Toc521840908"/>
      <w:bookmarkEnd w:id="4"/>
      <w:bookmarkEnd w:id="5"/>
      <w:bookmarkEnd w:id="6"/>
      <w:bookmarkEnd w:id="7"/>
      <w:r>
        <w:t>Design Review Process</w:t>
      </w:r>
    </w:p>
    <w:p w14:paraId="71B51EBA" w14:textId="77777777" w:rsidR="00FF0D25" w:rsidRDefault="00FF0D25" w:rsidP="00FF0D25">
      <w:pPr>
        <w:spacing w:after="120"/>
      </w:pPr>
      <w:r>
        <w:t xml:space="preserve">The </w:t>
      </w:r>
      <w:r>
        <w:rPr>
          <w:i/>
          <w:iCs/>
        </w:rPr>
        <w:t>Contractor</w:t>
      </w:r>
      <w:r>
        <w:t xml:space="preserve"> shall refer to the guide note “Design Review Process (G28)” and shall address all issues listed in the design review report prepared at the end of Concept, Design and Documentation phases and as identified in Schedule 5: Services Matrix.</w:t>
      </w:r>
    </w:p>
    <w:p w14:paraId="4C68B357" w14:textId="77777777" w:rsidR="00FF0D25" w:rsidRDefault="00FF0D25" w:rsidP="00FF0D25">
      <w:pPr>
        <w:pStyle w:val="Heading2"/>
      </w:pPr>
      <w:bookmarkStart w:id="15" w:name="_Toc521840928"/>
      <w:bookmarkStart w:id="16" w:name="_Toc522510699"/>
      <w:bookmarkStart w:id="17" w:name="_Toc524436695"/>
      <w:bookmarkStart w:id="18" w:name="_Toc524436825"/>
      <w:bookmarkStart w:id="19" w:name="_Toc525991831"/>
      <w:bookmarkEnd w:id="8"/>
      <w:bookmarkEnd w:id="9"/>
      <w:bookmarkEnd w:id="10"/>
      <w:bookmarkEnd w:id="11"/>
      <w:bookmarkEnd w:id="12"/>
      <w:r>
        <w:t xml:space="preserve">Earthquake Issues </w:t>
      </w:r>
    </w:p>
    <w:p w14:paraId="67B4EE7D" w14:textId="77777777" w:rsidR="00FF0D25" w:rsidRDefault="00FF0D25" w:rsidP="00FF0D25">
      <w:pPr>
        <w:spacing w:after="120"/>
      </w:pPr>
      <w:r>
        <w:t>DPTI has prepared advice on the issues that must be considered in regard to the impact of earthquake on buildings during the design phase.  Refer to the policy “Strengthening Existing Buildings for Earthquakes (PO45)”.</w:t>
      </w:r>
    </w:p>
    <w:p w14:paraId="232E221B" w14:textId="77777777" w:rsidR="00FF0D25" w:rsidRDefault="00FF0D25" w:rsidP="00FF0D25">
      <w:pPr>
        <w:pStyle w:val="Heading2"/>
      </w:pPr>
      <w:r>
        <w:t>Ecologically Sustainable Development (ESD) Planning and Design</w:t>
      </w:r>
    </w:p>
    <w:p w14:paraId="3BDF207A" w14:textId="77777777" w:rsidR="00FF0D25" w:rsidRDefault="00FF0D25" w:rsidP="00FF0D25">
      <w:pPr>
        <w:spacing w:after="120"/>
      </w:pPr>
      <w:r>
        <w:t xml:space="preserve">Government has a policy in regard to ESD.  The </w:t>
      </w:r>
      <w:r>
        <w:rPr>
          <w:i/>
          <w:iCs/>
        </w:rPr>
        <w:t>Contractor</w:t>
      </w:r>
      <w:r>
        <w:t xml:space="preserve"> shall plan and design the asset in accordance with the guide note “Ecologically Sustainable Development Planning, Design and Delivery (G44)”.</w:t>
      </w:r>
    </w:p>
    <w:p w14:paraId="79EDCAC6" w14:textId="77777777" w:rsidR="00FF0D25" w:rsidRDefault="00FF0D25" w:rsidP="00FF0D25">
      <w:pPr>
        <w:pStyle w:val="Heading2"/>
      </w:pPr>
      <w:r>
        <w:t>Ecologically Sustainable Development (ESD) in Department for Education and Child Development projects</w:t>
      </w:r>
    </w:p>
    <w:p w14:paraId="328901B2" w14:textId="77777777" w:rsidR="00FF0D25" w:rsidRDefault="00FF0D25" w:rsidP="00FF0D25">
      <w:pPr>
        <w:spacing w:after="120"/>
      </w:pPr>
      <w:r>
        <w:t>This guide note “Ecologically Sustainable Development in DECD Projects (G43)” is a companion to the “Ecologically Sustainable Development Planning, Design and Delivery (G44)” guide note.  The guide note relates to specific issues associated with the Department for Education and Child Development.</w:t>
      </w:r>
    </w:p>
    <w:p w14:paraId="4D12D591" w14:textId="77777777" w:rsidR="00FF0D25" w:rsidRDefault="00FF0D25" w:rsidP="00FF0D25">
      <w:pPr>
        <w:pStyle w:val="Heading2"/>
      </w:pPr>
      <w:r>
        <w:t>Electronic Document Requirements</w:t>
      </w:r>
    </w:p>
    <w:p w14:paraId="6697F596" w14:textId="77777777" w:rsidR="00FF0D25" w:rsidRDefault="00FF0D25" w:rsidP="00FF0D25">
      <w:pPr>
        <w:spacing w:after="120"/>
      </w:pPr>
      <w:r>
        <w:t xml:space="preserve">The </w:t>
      </w:r>
      <w:r>
        <w:rPr>
          <w:i/>
          <w:iCs/>
        </w:rPr>
        <w:t>Contractor</w:t>
      </w:r>
      <w:r>
        <w:t xml:space="preserve"> shall prepare all drawings for the construction contract and for future asset management in accordance with the guide note “Electronic Document Requirements (G65)”.</w:t>
      </w:r>
    </w:p>
    <w:p w14:paraId="6EB57A7E" w14:textId="77777777" w:rsidR="00FF0D25" w:rsidRDefault="00FF0D25" w:rsidP="00FF0D25">
      <w:pPr>
        <w:pStyle w:val="Heading2"/>
      </w:pPr>
      <w:r>
        <w:lastRenderedPageBreak/>
        <w:t>Energy Efficiency Action Plan</w:t>
      </w:r>
    </w:p>
    <w:p w14:paraId="43292F68" w14:textId="77777777" w:rsidR="00FF0D25" w:rsidRDefault="00FC764D" w:rsidP="00FF0D25">
      <w:r>
        <w:t xml:space="preserve">The </w:t>
      </w:r>
      <w:r>
        <w:rPr>
          <w:i/>
          <w:iCs/>
        </w:rPr>
        <w:t>Contractor</w:t>
      </w:r>
      <w:r>
        <w:t xml:space="preserve"> is required to meet the requirements of the Government Buildings Energy Strategy and other energy management policy documents.  Details are provided in the guide note “Government Buildings Energy Strategy Compliance (G46)”.</w:t>
      </w:r>
    </w:p>
    <w:p w14:paraId="1E0C7789" w14:textId="77777777" w:rsidR="00FF0D25" w:rsidRDefault="00FF0D25" w:rsidP="00FF0D25">
      <w:pPr>
        <w:pStyle w:val="Heading2"/>
      </w:pPr>
      <w:r>
        <w:t>Existing Trees</w:t>
      </w:r>
    </w:p>
    <w:p w14:paraId="5F527292" w14:textId="77777777" w:rsidR="00FF0D25" w:rsidRDefault="00FF0D25" w:rsidP="00FF0D25">
      <w:r>
        <w:t xml:space="preserve">Where there are large trees on the proposed building site the </w:t>
      </w:r>
      <w:r>
        <w:rPr>
          <w:i/>
          <w:iCs/>
        </w:rPr>
        <w:t>Contractor</w:t>
      </w:r>
      <w:r>
        <w:t xml:space="preserve"> shall refer to the guide note “Existing Trees (G33)”.</w:t>
      </w:r>
    </w:p>
    <w:p w14:paraId="790246E4" w14:textId="77777777" w:rsidR="00FF0D25" w:rsidRDefault="00FF0D25" w:rsidP="00FF0D25">
      <w:pPr>
        <w:pStyle w:val="Heading2"/>
      </w:pPr>
      <w:bookmarkStart w:id="20" w:name="_Toc522510700"/>
      <w:bookmarkStart w:id="21" w:name="_Toc524436696"/>
      <w:bookmarkStart w:id="22" w:name="_Toc524436826"/>
      <w:bookmarkStart w:id="23" w:name="_Toc525991832"/>
      <w:bookmarkEnd w:id="15"/>
      <w:bookmarkEnd w:id="16"/>
      <w:bookmarkEnd w:id="17"/>
      <w:bookmarkEnd w:id="18"/>
      <w:bookmarkEnd w:id="19"/>
      <w:r>
        <w:t>In-Floor Electrical Services Boxes</w:t>
      </w:r>
    </w:p>
    <w:p w14:paraId="6766A2B2" w14:textId="77777777" w:rsidR="00FF0D25" w:rsidRDefault="00FF0D25" w:rsidP="00FF0D25">
      <w:pPr>
        <w:pStyle w:val="DocumentContent"/>
        <w:keepNext/>
        <w:widowControl w:val="0"/>
      </w:pPr>
      <w:r>
        <w:t>Where in-</w:t>
      </w:r>
      <w:r w:rsidRPr="002B3E7C">
        <w:t xml:space="preserve">floor boxes </w:t>
      </w:r>
      <w:r>
        <w:t xml:space="preserve">for electrical services are used </w:t>
      </w:r>
      <w:r w:rsidRPr="002B3E7C">
        <w:t xml:space="preserve">on government </w:t>
      </w:r>
      <w:r>
        <w:t xml:space="preserve">building construction </w:t>
      </w:r>
      <w:r w:rsidRPr="002B3E7C">
        <w:t>projects</w:t>
      </w:r>
      <w:r>
        <w:t xml:space="preserve">, the </w:t>
      </w:r>
      <w:r w:rsidRPr="00A0259E">
        <w:rPr>
          <w:i/>
        </w:rPr>
        <w:t>Consultant</w:t>
      </w:r>
      <w:r>
        <w:t xml:space="preserve"> shall refer to the guide note “In-Floor Electrical Boxes (G167)”</w:t>
      </w:r>
      <w:r w:rsidRPr="002B3E7C">
        <w:t>.</w:t>
      </w:r>
    </w:p>
    <w:p w14:paraId="677C68E5" w14:textId="77777777" w:rsidR="00FF0D25" w:rsidRPr="00C3642E" w:rsidRDefault="00FF0D25" w:rsidP="00FF0D25">
      <w:pPr>
        <w:pStyle w:val="Heading2"/>
      </w:pPr>
      <w:r w:rsidRPr="00C3642E">
        <w:t>Hazardous Substances</w:t>
      </w:r>
    </w:p>
    <w:p w14:paraId="2AD0F80D" w14:textId="77777777" w:rsidR="00FF0D25" w:rsidRPr="00C3642E" w:rsidRDefault="00FF0D25" w:rsidP="00FF0D25">
      <w:r w:rsidRPr="00C3642E">
        <w:t xml:space="preserve">An inspection report, management plan and register may be available for information and the </w:t>
      </w:r>
      <w:r>
        <w:rPr>
          <w:i/>
          <w:iCs/>
        </w:rPr>
        <w:t>Contractor</w:t>
      </w:r>
      <w:r w:rsidRPr="00C3642E">
        <w:rPr>
          <w:i/>
          <w:iCs/>
        </w:rPr>
        <w:t xml:space="preserve"> </w:t>
      </w:r>
      <w:r w:rsidRPr="00C3642E">
        <w:t xml:space="preserve">shall make appropriate enquiries to the </w:t>
      </w:r>
      <w:r>
        <w:t>DPTI</w:t>
      </w:r>
      <w:r w:rsidRPr="00C3642E">
        <w:t xml:space="preserve"> Project Risk Manager.  Prior to any considerations or work associated with hazardous substances contact the </w:t>
      </w:r>
      <w:r>
        <w:t>DPTI</w:t>
      </w:r>
      <w:r w:rsidRPr="00C3642E">
        <w:t xml:space="preserve"> Asbestos Management Unit on 8226 4455.</w:t>
      </w:r>
    </w:p>
    <w:p w14:paraId="2DC8E2EA" w14:textId="77777777" w:rsidR="00FF0D25" w:rsidRDefault="00FF0D25" w:rsidP="00FF0D25">
      <w:pPr>
        <w:pStyle w:val="Heading2"/>
      </w:pPr>
      <w:bookmarkStart w:id="24" w:name="_Toc522510701"/>
      <w:bookmarkStart w:id="25" w:name="_Toc524436697"/>
      <w:bookmarkStart w:id="26" w:name="_Toc524436827"/>
      <w:bookmarkStart w:id="27" w:name="_Toc525991833"/>
      <w:bookmarkEnd w:id="20"/>
      <w:bookmarkEnd w:id="21"/>
      <w:bookmarkEnd w:id="22"/>
      <w:bookmarkEnd w:id="23"/>
      <w:r>
        <w:t>Health Assets Design</w:t>
      </w:r>
    </w:p>
    <w:p w14:paraId="0EB5FCD5" w14:textId="77777777" w:rsidR="00FF0D25" w:rsidRDefault="00FF0D25" w:rsidP="00FF0D25">
      <w:pPr>
        <w:spacing w:after="120"/>
      </w:pPr>
      <w:r>
        <w:t>The Department of Health and Ageing has specific requirements relating to asset management and building design.  Details are provided in the “DHS Facilities Design Standards and Guidelines” and “Environment Design Parameters for Health Buildings” (copies available through the DPTI Project Risk Manager).</w:t>
      </w:r>
    </w:p>
    <w:p w14:paraId="76B13857" w14:textId="77777777" w:rsidR="00FF0D25" w:rsidRPr="00C3642E" w:rsidRDefault="00FF0D25" w:rsidP="00FF0D25">
      <w:pPr>
        <w:pStyle w:val="Heading2"/>
      </w:pPr>
      <w:r w:rsidRPr="00C3642E">
        <w:t>Impairment to Fire Services</w:t>
      </w:r>
    </w:p>
    <w:p w14:paraId="07CB4DF5" w14:textId="77777777" w:rsidR="00FF0D25" w:rsidRDefault="00FF0D25" w:rsidP="00FF0D25">
      <w:r w:rsidRPr="00C3642E">
        <w:t xml:space="preserve">Where there are existing fire services on the proposed building site it is a requirement that the South Australian Government Captive Insurance Corporation (SAICORP) </w:t>
      </w:r>
      <w:r>
        <w:t>(Ph: </w:t>
      </w:r>
      <w:r w:rsidRPr="00C3642E">
        <w:t>8226</w:t>
      </w:r>
      <w:r>
        <w:t> </w:t>
      </w:r>
      <w:r w:rsidRPr="00C3642E">
        <w:t>2270</w:t>
      </w:r>
      <w:r>
        <w:t>)</w:t>
      </w:r>
      <w:r w:rsidRPr="00C3642E">
        <w:t xml:space="preserve"> is advised </w:t>
      </w:r>
      <w:r w:rsidRPr="00C3642E">
        <w:rPr>
          <w:u w:val="single"/>
        </w:rPr>
        <w:t>in writing</w:t>
      </w:r>
      <w:r w:rsidRPr="00C3642E">
        <w:t xml:space="preserve"> prior to the impairment of those services for a period of four calendar days or more.  The </w:t>
      </w:r>
      <w:r>
        <w:rPr>
          <w:i/>
          <w:iCs/>
        </w:rPr>
        <w:t>Contractor</w:t>
      </w:r>
      <w:r w:rsidRPr="00C3642E">
        <w:t xml:space="preserve"> shall manage that the standard </w:t>
      </w:r>
      <w:r>
        <w:t>DPTI</w:t>
      </w:r>
      <w:r w:rsidRPr="00C3642E">
        <w:t xml:space="preserve"> Preliminaries requirement to advise SAICORP is included in the construction contract, and is referred to in the relevant trade specification sections of the construction contract.  The </w:t>
      </w:r>
      <w:r>
        <w:rPr>
          <w:i/>
          <w:iCs/>
        </w:rPr>
        <w:t>Contractor</w:t>
      </w:r>
      <w:r w:rsidRPr="00C3642E">
        <w:rPr>
          <w:i/>
          <w:iCs/>
        </w:rPr>
        <w:t xml:space="preserve"> </w:t>
      </w:r>
      <w:r w:rsidRPr="00C3642E">
        <w:t>shall ensure that contractors are cognisant of this requirement during construction.</w:t>
      </w:r>
    </w:p>
    <w:p w14:paraId="1D7A564B" w14:textId="77777777" w:rsidR="00FF0D25" w:rsidRDefault="00FF0D25" w:rsidP="00FF0D25">
      <w:pPr>
        <w:pStyle w:val="Heading2"/>
      </w:pPr>
      <w:bookmarkStart w:id="28" w:name="_Toc521840912"/>
      <w:bookmarkStart w:id="29" w:name="_Toc522510702"/>
      <w:bookmarkStart w:id="30" w:name="_Toc524436698"/>
      <w:bookmarkStart w:id="31" w:name="_Toc524436828"/>
      <w:bookmarkStart w:id="32" w:name="_Toc525991834"/>
      <w:bookmarkEnd w:id="13"/>
      <w:bookmarkEnd w:id="24"/>
      <w:bookmarkEnd w:id="25"/>
      <w:bookmarkEnd w:id="26"/>
      <w:bookmarkEnd w:id="27"/>
      <w:r>
        <w:t>Planting Indigenous Species</w:t>
      </w:r>
    </w:p>
    <w:p w14:paraId="4C2478E3" w14:textId="77777777" w:rsidR="00B845CB" w:rsidRDefault="00FF0D25" w:rsidP="00FF0D25">
      <w:r>
        <w:t xml:space="preserve">Under government policy it is necessary for priority to be given to the planting of indigenous species in accordance with the “Planting Indigenous Species Policy”.  The policy can be </w:t>
      </w:r>
      <w:r w:rsidRPr="00E22FDB">
        <w:t>found at the Department of Environment, Water and Natural Resources website:</w:t>
      </w:r>
    </w:p>
    <w:p w14:paraId="794D4E1D" w14:textId="3E89EBB6" w:rsidR="00FF0D25" w:rsidRDefault="00FF0D25" w:rsidP="00FF0D25">
      <w:r w:rsidRPr="00E22FDB">
        <w:t xml:space="preserve"> </w:t>
      </w:r>
      <w:hyperlink r:id="rId8" w:history="1">
        <w:r w:rsidR="00B845CB">
          <w:rPr>
            <w:rStyle w:val="Hyperlink"/>
            <w:rFonts w:eastAsiaTheme="majorEastAsia"/>
          </w:rPr>
          <w:t>Department for Environment and Water - Home</w:t>
        </w:r>
      </w:hyperlink>
    </w:p>
    <w:p w14:paraId="25BAAAB1" w14:textId="77777777" w:rsidR="00FF0D25" w:rsidRDefault="00FF0D25" w:rsidP="00FF0D25">
      <w:pPr>
        <w:pStyle w:val="Heading2"/>
      </w:pPr>
      <w:bookmarkStart w:id="33" w:name="_Toc522510704"/>
      <w:bookmarkStart w:id="34" w:name="_Toc524436700"/>
      <w:bookmarkStart w:id="35" w:name="_Toc524436830"/>
      <w:bookmarkStart w:id="36" w:name="_Toc525991836"/>
      <w:bookmarkEnd w:id="28"/>
      <w:bookmarkEnd w:id="29"/>
      <w:bookmarkEnd w:id="30"/>
      <w:bookmarkEnd w:id="31"/>
      <w:bookmarkEnd w:id="32"/>
      <w:bookmarkEnd w:id="14"/>
      <w:r>
        <w:t>Removal/Demolition of Buildings</w:t>
      </w:r>
    </w:p>
    <w:p w14:paraId="05332165" w14:textId="77777777" w:rsidR="00FF0D25" w:rsidRDefault="00FF0D25" w:rsidP="00FF0D25">
      <w:pPr>
        <w:spacing w:after="120"/>
      </w:pPr>
      <w:r>
        <w:t>If any buildings are removed or demolished, implement the requirements outlined in the guide note “Assessment and Management of DECD Sites Treated with Termiticides (G32)” to determine if the soil is contaminated by chemicals used for the control of termite infestation.  Also refer to the guide note “Site Contamination (G37)”.</w:t>
      </w:r>
    </w:p>
    <w:p w14:paraId="1594D20C" w14:textId="77777777" w:rsidR="00FF0D25" w:rsidRDefault="00FF0D25" w:rsidP="00FF0D25">
      <w:pPr>
        <w:pStyle w:val="Heading2"/>
      </w:pPr>
      <w:bookmarkStart w:id="37" w:name="_Toc521840915"/>
      <w:bookmarkStart w:id="38" w:name="_Toc522510705"/>
      <w:bookmarkStart w:id="39" w:name="_Toc524436701"/>
      <w:bookmarkStart w:id="40" w:name="_Toc524436831"/>
      <w:bookmarkStart w:id="41" w:name="_Toc525991837"/>
      <w:bookmarkStart w:id="42" w:name="_Toc521840913"/>
      <w:bookmarkEnd w:id="33"/>
      <w:bookmarkEnd w:id="34"/>
      <w:bookmarkEnd w:id="35"/>
      <w:bookmarkEnd w:id="36"/>
      <w:r>
        <w:t>Site Contamination</w:t>
      </w:r>
    </w:p>
    <w:p w14:paraId="094ACC3D" w14:textId="77777777" w:rsidR="00FF0D25" w:rsidRDefault="00FF0D25" w:rsidP="00FF0D25">
      <w:pPr>
        <w:spacing w:after="120"/>
      </w:pPr>
      <w:r>
        <w:t>The guide note “Site Contamination (G37)” provides information on the procedures that apply when soil contamination is found.</w:t>
      </w:r>
    </w:p>
    <w:p w14:paraId="1589E447" w14:textId="77777777" w:rsidR="00FF0D25" w:rsidRDefault="00FF0D25" w:rsidP="00FF0D25">
      <w:pPr>
        <w:pStyle w:val="Heading2"/>
      </w:pPr>
      <w:bookmarkStart w:id="43" w:name="_Toc522510706"/>
      <w:bookmarkStart w:id="44" w:name="_Toc524436702"/>
      <w:bookmarkStart w:id="45" w:name="_Toc524436832"/>
      <w:bookmarkStart w:id="46" w:name="_Toc525991838"/>
      <w:bookmarkEnd w:id="37"/>
      <w:bookmarkEnd w:id="38"/>
      <w:bookmarkEnd w:id="39"/>
      <w:bookmarkEnd w:id="40"/>
      <w:bookmarkEnd w:id="41"/>
      <w:r>
        <w:lastRenderedPageBreak/>
        <w:t>Solar Panels for Government Funded Building Projects</w:t>
      </w:r>
    </w:p>
    <w:p w14:paraId="66074066" w14:textId="77777777" w:rsidR="00FF0D25" w:rsidRDefault="00FF0D25" w:rsidP="00FF0D25">
      <w:pPr>
        <w:tabs>
          <w:tab w:val="left" w:pos="600"/>
        </w:tabs>
      </w:pPr>
      <w:r>
        <w:t xml:space="preserve">Government has a policy in regard to the installation of solar panels in new or substantially refurbished building construction projects.  The </w:t>
      </w:r>
      <w:r>
        <w:rPr>
          <w:i/>
          <w:iCs/>
        </w:rPr>
        <w:t>Contractor</w:t>
      </w:r>
      <w:r>
        <w:t xml:space="preserve"> shall plan and design the asset in accordance with the guide note “Solar Panels for Government Funded Building Projects (G140)”.  The guide note is referenced in “Ecologically Sustainable Development Planning, Design and Delivery (G44)”.</w:t>
      </w:r>
    </w:p>
    <w:p w14:paraId="3F3E6345" w14:textId="77777777" w:rsidR="00FF0D25" w:rsidRDefault="00FF0D25" w:rsidP="00FF0D25">
      <w:pPr>
        <w:pStyle w:val="Heading2"/>
      </w:pPr>
      <w:r>
        <w:t>Stormwater Pollution Control</w:t>
      </w:r>
    </w:p>
    <w:p w14:paraId="57731C37" w14:textId="77777777" w:rsidR="00FF0D25" w:rsidRDefault="00FF0D25" w:rsidP="00FF0D25">
      <w:r>
        <w:t>DPTI endorses the “General Code of Practice for State and Federal Government Agencies for stormwater pollution control” which has been issued under the auspices to the South Australian Office of the Environment Protection Authority (EPA).  The application of the Code is to be an integral part of the design and construction process.  In particular the use of soil erosion and sediment control structures and the preparation of a Soil Erosion and Management Plan are to be addressed.</w:t>
      </w:r>
    </w:p>
    <w:bookmarkEnd w:id="42"/>
    <w:bookmarkEnd w:id="43"/>
    <w:bookmarkEnd w:id="44"/>
    <w:bookmarkEnd w:id="45"/>
    <w:bookmarkEnd w:id="46"/>
    <w:p w14:paraId="760E5520" w14:textId="77777777" w:rsidR="00FF0D25" w:rsidRPr="00FF0D25" w:rsidRDefault="00FF0D25" w:rsidP="00FF0D25">
      <w:pPr>
        <w:keepNext/>
        <w:numPr>
          <w:ilvl w:val="1"/>
          <w:numId w:val="3"/>
        </w:numPr>
        <w:spacing w:before="240" w:after="60"/>
        <w:outlineLvl w:val="1"/>
        <w:rPr>
          <w:b/>
          <w:bCs/>
        </w:rPr>
      </w:pPr>
      <w:r w:rsidRPr="00FF0D25">
        <w:rPr>
          <w:b/>
          <w:bCs/>
        </w:rPr>
        <w:t>Underground Oil Tanks in Schools</w:t>
      </w:r>
    </w:p>
    <w:p w14:paraId="1EE4A317" w14:textId="77777777" w:rsidR="00C50E0B" w:rsidRPr="006C72CA" w:rsidRDefault="00FF0D25" w:rsidP="00FF0D25">
      <w:pPr>
        <w:spacing w:after="120"/>
      </w:pPr>
      <w:r w:rsidRPr="00FF0D25">
        <w:t xml:space="preserve">If there are underground oil tanks in the vicinity of a redevelopment particularly on a school site contact Adrian Swiatnik, DPTI on 8226 5376.  Also refer to the </w:t>
      </w:r>
      <w:r w:rsidRPr="006C72CA">
        <w:t>guide note “Site Contamination (G37)”.</w:t>
      </w:r>
    </w:p>
    <w:sectPr w:rsidR="00C50E0B" w:rsidRPr="006C72CA" w:rsidSect="00E778F6">
      <w:headerReference w:type="default" r:id="rId9"/>
      <w:footerReference w:type="default" r:id="rId10"/>
      <w:pgSz w:w="11907" w:h="16840" w:code="9"/>
      <w:pgMar w:top="1418" w:right="1418" w:bottom="1418" w:left="1418" w:header="720" w:footer="720" w:gutter="0"/>
      <w:paperSrc w:first="7" w:other="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68E43" w14:textId="77777777" w:rsidR="008678EF" w:rsidRDefault="008678EF">
      <w:r>
        <w:separator/>
      </w:r>
    </w:p>
  </w:endnote>
  <w:endnote w:type="continuationSeparator" w:id="0">
    <w:p w14:paraId="173C004C" w14:textId="77777777" w:rsidR="008678EF" w:rsidRDefault="0086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0F41" w14:textId="77777777" w:rsidR="008678EF" w:rsidRPr="004C01B9" w:rsidRDefault="00323F6C" w:rsidP="004C01B9">
    <w:pPr>
      <w:pStyle w:val="Footer"/>
      <w:tabs>
        <w:tab w:val="clear" w:pos="4153"/>
        <w:tab w:val="clear" w:pos="8306"/>
        <w:tab w:val="right" w:pos="9072"/>
      </w:tabs>
      <w:rPr>
        <w:sz w:val="20"/>
        <w:szCs w:val="20"/>
      </w:rPr>
    </w:pPr>
    <w:r w:rsidRPr="004C01B9">
      <w:rPr>
        <w:color w:val="FF0000"/>
        <w:sz w:val="20"/>
        <w:szCs w:val="20"/>
      </w:rPr>
      <w:t>Project Name</w:t>
    </w:r>
    <w:r w:rsidR="004C01B9" w:rsidRPr="004C01B9">
      <w:rPr>
        <w:color w:val="FF0000"/>
        <w:sz w:val="20"/>
        <w:szCs w:val="20"/>
      </w:rPr>
      <w:tab/>
    </w:r>
    <w:r w:rsidR="008678EF" w:rsidRPr="004C01B9">
      <w:rPr>
        <w:sz w:val="20"/>
        <w:szCs w:val="20"/>
      </w:rPr>
      <w:t xml:space="preserve">Page </w:t>
    </w:r>
    <w:r w:rsidR="00E778F6" w:rsidRPr="004C01B9">
      <w:rPr>
        <w:sz w:val="20"/>
        <w:szCs w:val="20"/>
      </w:rPr>
      <w:fldChar w:fldCharType="begin"/>
    </w:r>
    <w:r w:rsidR="008678EF" w:rsidRPr="004C01B9">
      <w:rPr>
        <w:sz w:val="20"/>
        <w:szCs w:val="20"/>
      </w:rPr>
      <w:instrText xml:space="preserve"> PAGE </w:instrText>
    </w:r>
    <w:r w:rsidR="00E778F6" w:rsidRPr="004C01B9">
      <w:rPr>
        <w:sz w:val="20"/>
        <w:szCs w:val="20"/>
      </w:rPr>
      <w:fldChar w:fldCharType="separate"/>
    </w:r>
    <w:r w:rsidR="000C32C3">
      <w:rPr>
        <w:noProof/>
        <w:sz w:val="20"/>
        <w:szCs w:val="20"/>
      </w:rPr>
      <w:t>3</w:t>
    </w:r>
    <w:r w:rsidR="00E778F6" w:rsidRPr="004C01B9">
      <w:rPr>
        <w:sz w:val="20"/>
        <w:szCs w:val="20"/>
      </w:rPr>
      <w:fldChar w:fldCharType="end"/>
    </w:r>
    <w:r w:rsidR="008678EF" w:rsidRPr="004C01B9">
      <w:rPr>
        <w:sz w:val="20"/>
        <w:szCs w:val="20"/>
      </w:rPr>
      <w:t xml:space="preserve"> of </w:t>
    </w:r>
    <w:r w:rsidR="00E778F6" w:rsidRPr="004C01B9">
      <w:rPr>
        <w:sz w:val="20"/>
        <w:szCs w:val="20"/>
      </w:rPr>
      <w:fldChar w:fldCharType="begin"/>
    </w:r>
    <w:r w:rsidR="008678EF" w:rsidRPr="004C01B9">
      <w:rPr>
        <w:sz w:val="20"/>
        <w:szCs w:val="20"/>
      </w:rPr>
      <w:instrText xml:space="preserve"> NUMPAGES  </w:instrText>
    </w:r>
    <w:r w:rsidR="00E778F6" w:rsidRPr="004C01B9">
      <w:rPr>
        <w:sz w:val="20"/>
        <w:szCs w:val="20"/>
      </w:rPr>
      <w:fldChar w:fldCharType="separate"/>
    </w:r>
    <w:r w:rsidR="000C32C3">
      <w:rPr>
        <w:noProof/>
        <w:sz w:val="20"/>
        <w:szCs w:val="20"/>
      </w:rPr>
      <w:t>3</w:t>
    </w:r>
    <w:r w:rsidR="00E778F6" w:rsidRPr="004C01B9">
      <w:rPr>
        <w:sz w:val="20"/>
        <w:szCs w:val="20"/>
      </w:rPr>
      <w:fldChar w:fldCharType="end"/>
    </w:r>
  </w:p>
  <w:p w14:paraId="7C121D2E" w14:textId="77777777" w:rsidR="008678EF" w:rsidRDefault="008678EF">
    <w:pPr>
      <w:pStyle w:val="Footer"/>
      <w:tabs>
        <w:tab w:val="clear" w:pos="4153"/>
        <w:tab w:val="clear" w:pos="8306"/>
      </w:tabs>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16393" w14:textId="77777777" w:rsidR="008678EF" w:rsidRDefault="008678EF">
      <w:r>
        <w:separator/>
      </w:r>
    </w:p>
  </w:footnote>
  <w:footnote w:type="continuationSeparator" w:id="0">
    <w:p w14:paraId="3BEBEB46" w14:textId="77777777" w:rsidR="008678EF" w:rsidRDefault="00867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D7E7" w14:textId="3F5C9006" w:rsidR="008678EF" w:rsidRDefault="00166DA4">
    <w:pPr>
      <w:pStyle w:val="Header"/>
      <w:tabs>
        <w:tab w:val="clear" w:pos="4153"/>
        <w:tab w:val="clear" w:pos="8306"/>
      </w:tabs>
      <w:jc w:val="right"/>
      <w:rPr>
        <w:sz w:val="16"/>
        <w:szCs w:val="16"/>
      </w:rPr>
    </w:pPr>
    <w:r>
      <w:rPr>
        <w:noProof/>
        <w:sz w:val="16"/>
        <w:szCs w:val="16"/>
      </w:rPr>
      <mc:AlternateContent>
        <mc:Choice Requires="wps">
          <w:drawing>
            <wp:anchor distT="0" distB="0" distL="114300" distR="114300" simplePos="0" relativeHeight="251659264" behindDoc="0" locked="0" layoutInCell="0" allowOverlap="1" wp14:anchorId="5D0E08D3" wp14:editId="04B61C27">
              <wp:simplePos x="0" y="0"/>
              <wp:positionH relativeFrom="page">
                <wp:posOffset>0</wp:posOffset>
              </wp:positionH>
              <wp:positionV relativeFrom="page">
                <wp:posOffset>190500</wp:posOffset>
              </wp:positionV>
              <wp:extent cx="7560945" cy="252095"/>
              <wp:effectExtent l="0" t="0" r="0" b="14605"/>
              <wp:wrapNone/>
              <wp:docPr id="1" name="MSIPCM758c4144920fe52c8d1eadba" descr="{&quot;HashCode&quot;:117806203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13824D" w14:textId="4E834756" w:rsidR="00166DA4" w:rsidRPr="00166DA4" w:rsidRDefault="00166DA4" w:rsidP="00166DA4">
                          <w:pPr>
                            <w:jc w:val="center"/>
                            <w:rPr>
                              <w:color w:val="A80000"/>
                              <w:sz w:val="24"/>
                            </w:rPr>
                          </w:pPr>
                          <w:r w:rsidRPr="00166DA4">
                            <w:rPr>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D0E08D3" id="_x0000_t202" coordsize="21600,21600" o:spt="202" path="m,l,21600r21600,l21600,xe">
              <v:stroke joinstyle="miter"/>
              <v:path gradientshapeok="t" o:connecttype="rect"/>
            </v:shapetype>
            <v:shape id="MSIPCM758c4144920fe52c8d1eadba" o:spid="_x0000_s1026" type="#_x0000_t202" alt="{&quot;HashCode&quot;:1178062039,&quot;Height&quot;:842.0,&quot;Width&quot;:595.0,&quot;Placement&quot;:&quot;Header&quot;,&quot;Index&quot;:&quot;Primary&quot;,&quot;Section&quot;:1,&quot;Top&quot;:0.0,&quot;Left&quot;:0.0}" style="position:absolute;left:0;text-align:left;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9v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" o:allowincell="f" filled="f" stroked="f" strokeweight=".5pt">
              <v:textbox inset=",0,,0">
                <w:txbxContent>
                  <w:p w14:paraId="4013824D" w14:textId="4E834756" w:rsidR="00166DA4" w:rsidRPr="00166DA4" w:rsidRDefault="00166DA4" w:rsidP="00166DA4">
                    <w:pPr>
                      <w:jc w:val="center"/>
                      <w:rPr>
                        <w:color w:val="A80000"/>
                        <w:sz w:val="24"/>
                      </w:rPr>
                    </w:pPr>
                    <w:r w:rsidRPr="00166DA4">
                      <w:rPr>
                        <w:color w:val="A80000"/>
                        <w:sz w:val="24"/>
                      </w:rPr>
                      <w:t>OFFICIAL</w:t>
                    </w:r>
                  </w:p>
                </w:txbxContent>
              </v:textbox>
              <w10:wrap anchorx="page" anchory="page"/>
            </v:shape>
          </w:pict>
        </mc:Fallback>
      </mc:AlternateContent>
    </w:r>
    <w:r w:rsidR="008678EF">
      <w:rPr>
        <w:sz w:val="16"/>
        <w:szCs w:val="16"/>
      </w:rPr>
      <w:t>Schedule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52496"/>
    <w:multiLevelType w:val="multilevel"/>
    <w:tmpl w:val="42787016"/>
    <w:lvl w:ilvl="0">
      <w:start w:val="4"/>
      <w:numFmt w:val="decimal"/>
      <w:lvlText w:val="%1."/>
      <w:lvlJc w:val="left"/>
      <w:pPr>
        <w:tabs>
          <w:tab w:val="num" w:pos="207"/>
        </w:tabs>
        <w:ind w:left="207" w:hanging="567"/>
      </w:pPr>
      <w:rPr>
        <w:rFonts w:ascii="Times New Roman" w:hAnsi="Times New Roman" w:cs="Times New Roman" w:hint="default"/>
        <w:b w:val="0"/>
        <w:bCs w:val="0"/>
        <w:i w:val="0"/>
        <w:iCs w:val="0"/>
      </w:rPr>
    </w:lvl>
    <w:lvl w:ilvl="1">
      <w:start w:val="1"/>
      <w:numFmt w:val="decimal"/>
      <w:pStyle w:val="Heading2"/>
      <w:lvlText w:val="%1.%2"/>
      <w:lvlJc w:val="left"/>
      <w:pPr>
        <w:tabs>
          <w:tab w:val="num" w:pos="567"/>
        </w:tabs>
        <w:ind w:left="567" w:hanging="567"/>
      </w:pPr>
      <w:rPr>
        <w:rFonts w:ascii="Arial" w:hAnsi="Arial" w:cs="Arial" w:hint="default"/>
        <w:b/>
        <w:bCs/>
        <w:i w:val="0"/>
        <w:iCs w:val="0"/>
        <w:sz w:val="22"/>
        <w:szCs w:val="22"/>
      </w:rPr>
    </w:lvl>
    <w:lvl w:ilvl="2">
      <w:start w:val="1"/>
      <w:numFmt w:val="decimal"/>
      <w:lvlText w:val="%1.%2.%3."/>
      <w:lvlJc w:val="left"/>
      <w:pPr>
        <w:tabs>
          <w:tab w:val="num" w:pos="864"/>
        </w:tabs>
        <w:ind w:left="864" w:hanging="504"/>
      </w:pPr>
      <w:rPr>
        <w:rFonts w:ascii="Times New Roman" w:hAnsi="Times New Roman" w:cs="Times New Roman" w:hint="default"/>
      </w:rPr>
    </w:lvl>
    <w:lvl w:ilvl="3">
      <w:start w:val="1"/>
      <w:numFmt w:val="decimal"/>
      <w:lvlText w:val="%1.%2.%3.%4."/>
      <w:lvlJc w:val="left"/>
      <w:pPr>
        <w:tabs>
          <w:tab w:val="num" w:pos="1368"/>
        </w:tabs>
        <w:ind w:left="1368" w:hanging="648"/>
      </w:pPr>
      <w:rPr>
        <w:rFonts w:ascii="Times New Roman" w:hAnsi="Times New Roman" w:cs="Times New Roman" w:hint="default"/>
      </w:rPr>
    </w:lvl>
    <w:lvl w:ilvl="4">
      <w:start w:val="1"/>
      <w:numFmt w:val="decimal"/>
      <w:lvlText w:val="%1.%2.%3.%4.%5."/>
      <w:lvlJc w:val="left"/>
      <w:pPr>
        <w:tabs>
          <w:tab w:val="num" w:pos="1872"/>
        </w:tabs>
        <w:ind w:left="1872" w:hanging="792"/>
      </w:pPr>
      <w:rPr>
        <w:rFonts w:ascii="Times New Roman" w:hAnsi="Times New Roman" w:cs="Times New Roman" w:hint="default"/>
      </w:rPr>
    </w:lvl>
    <w:lvl w:ilvl="5">
      <w:start w:val="1"/>
      <w:numFmt w:val="decimal"/>
      <w:lvlText w:val="%1.%2.%3.%4.%5.%6."/>
      <w:lvlJc w:val="left"/>
      <w:pPr>
        <w:tabs>
          <w:tab w:val="num" w:pos="2376"/>
        </w:tabs>
        <w:ind w:left="2376" w:hanging="936"/>
      </w:pPr>
      <w:rPr>
        <w:rFonts w:ascii="Times New Roman" w:hAnsi="Times New Roman" w:cs="Times New Roman" w:hint="default"/>
      </w:rPr>
    </w:lvl>
    <w:lvl w:ilvl="6">
      <w:start w:val="1"/>
      <w:numFmt w:val="decimal"/>
      <w:lvlText w:val="%1.%2.%3.%4.%5.%6.%7."/>
      <w:lvlJc w:val="left"/>
      <w:pPr>
        <w:tabs>
          <w:tab w:val="num" w:pos="2880"/>
        </w:tabs>
        <w:ind w:left="2880" w:hanging="1080"/>
      </w:pPr>
      <w:rPr>
        <w:rFonts w:ascii="Times New Roman" w:hAnsi="Times New Roman" w:cs="Times New Roman" w:hint="default"/>
      </w:rPr>
    </w:lvl>
    <w:lvl w:ilvl="7">
      <w:start w:val="1"/>
      <w:numFmt w:val="decimal"/>
      <w:lvlText w:val="%1.%2.%3.%4.%5.%6.%7.%8."/>
      <w:lvlJc w:val="left"/>
      <w:pPr>
        <w:tabs>
          <w:tab w:val="num" w:pos="3384"/>
        </w:tabs>
        <w:ind w:left="3384" w:hanging="1224"/>
      </w:pPr>
      <w:rPr>
        <w:rFonts w:ascii="Times New Roman" w:hAnsi="Times New Roman" w:cs="Times New Roman" w:hint="default"/>
      </w:rPr>
    </w:lvl>
    <w:lvl w:ilvl="8">
      <w:start w:val="1"/>
      <w:numFmt w:val="decimal"/>
      <w:lvlText w:val="%1.%2.%3.%4.%5.%6.%7.%8.%9."/>
      <w:lvlJc w:val="left"/>
      <w:pPr>
        <w:tabs>
          <w:tab w:val="num" w:pos="3960"/>
        </w:tabs>
        <w:ind w:left="3960" w:hanging="1440"/>
      </w:pPr>
      <w:rPr>
        <w:rFonts w:ascii="Times New Roman" w:hAnsi="Times New Roman" w:cs="Times New Roman" w:hint="default"/>
      </w:rPr>
    </w:lvl>
  </w:abstractNum>
  <w:abstractNum w:abstractNumId="1" w15:restartNumberingAfterBreak="0">
    <w:nsid w:val="4A722E39"/>
    <w:multiLevelType w:val="singleLevel"/>
    <w:tmpl w:val="1CC2BE06"/>
    <w:lvl w:ilvl="0">
      <w:start w:val="1"/>
      <w:numFmt w:val="decimal"/>
      <w:lvlText w:val="2.%1"/>
      <w:lvlJc w:val="left"/>
      <w:pPr>
        <w:tabs>
          <w:tab w:val="num" w:pos="567"/>
        </w:tabs>
        <w:ind w:left="567" w:hanging="567"/>
      </w:pPr>
      <w:rPr>
        <w:rFonts w:ascii="Times New Roman" w:hAnsi="Times New Roman" w:cs="Times New Roman"/>
      </w:rPr>
    </w:lvl>
  </w:abstractNum>
  <w:abstractNum w:abstractNumId="2" w15:restartNumberingAfterBreak="0">
    <w:nsid w:val="4BFF2D91"/>
    <w:multiLevelType w:val="multilevel"/>
    <w:tmpl w:val="91DE6CD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F57054C"/>
    <w:multiLevelType w:val="multilevel"/>
    <w:tmpl w:val="2C841C7A"/>
    <w:lvl w:ilvl="0">
      <w:start w:val="4"/>
      <w:numFmt w:val="decimal"/>
      <w:lvlText w:val="%1."/>
      <w:lvlJc w:val="left"/>
      <w:pPr>
        <w:tabs>
          <w:tab w:val="num" w:pos="360"/>
        </w:tabs>
      </w:pPr>
      <w:rPr>
        <w:rFonts w:ascii="Times New Roman" w:hAnsi="Times New Roman" w:cs="Times New Roman" w:hint="default"/>
      </w:r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1800"/>
        </w:tabs>
        <w:ind w:left="1224" w:hanging="504"/>
      </w:pPr>
      <w:rPr>
        <w:rFonts w:ascii="Times New Roman" w:hAnsi="Times New Roman" w:cs="Times New Roman" w:hint="default"/>
      </w:rPr>
    </w:lvl>
    <w:lvl w:ilvl="3">
      <w:start w:val="1"/>
      <w:numFmt w:val="decimal"/>
      <w:lvlText w:val="%1.%2.%3.%4."/>
      <w:lvlJc w:val="left"/>
      <w:pPr>
        <w:tabs>
          <w:tab w:val="num" w:pos="2520"/>
        </w:tabs>
        <w:ind w:left="1728" w:hanging="648"/>
      </w:pPr>
      <w:rPr>
        <w:rFonts w:ascii="Times New Roman" w:hAnsi="Times New Roman" w:cs="Times New Roman" w:hint="default"/>
      </w:rPr>
    </w:lvl>
    <w:lvl w:ilvl="4">
      <w:start w:val="1"/>
      <w:numFmt w:val="decimal"/>
      <w:lvlText w:val="%1.%2.%3.%4.%5."/>
      <w:lvlJc w:val="left"/>
      <w:pPr>
        <w:tabs>
          <w:tab w:val="num" w:pos="3240"/>
        </w:tabs>
        <w:ind w:left="2232" w:hanging="792"/>
      </w:pPr>
      <w:rPr>
        <w:rFonts w:ascii="Times New Roman" w:hAnsi="Times New Roman" w:cs="Times New Roman" w:hint="default"/>
      </w:rPr>
    </w:lvl>
    <w:lvl w:ilvl="5">
      <w:start w:val="1"/>
      <w:numFmt w:val="decimal"/>
      <w:lvlText w:val="%1.%2.%3.%4.%5.%6."/>
      <w:lvlJc w:val="left"/>
      <w:pPr>
        <w:tabs>
          <w:tab w:val="num" w:pos="3960"/>
        </w:tabs>
        <w:ind w:left="2736" w:hanging="936"/>
      </w:pPr>
      <w:rPr>
        <w:rFonts w:ascii="Times New Roman" w:hAnsi="Times New Roman" w:cs="Times New Roman" w:hint="default"/>
      </w:rPr>
    </w:lvl>
    <w:lvl w:ilvl="6">
      <w:start w:val="1"/>
      <w:numFmt w:val="decimal"/>
      <w:lvlText w:val="%1.%2.%3.%4.%5.%6.%7."/>
      <w:lvlJc w:val="left"/>
      <w:pPr>
        <w:tabs>
          <w:tab w:val="num" w:pos="4680"/>
        </w:tabs>
        <w:ind w:left="3240" w:hanging="1080"/>
      </w:pPr>
      <w:rPr>
        <w:rFonts w:ascii="Times New Roman" w:hAnsi="Times New Roman" w:cs="Times New Roman" w:hint="default"/>
      </w:rPr>
    </w:lvl>
    <w:lvl w:ilvl="7">
      <w:start w:val="1"/>
      <w:numFmt w:val="decimal"/>
      <w:lvlText w:val="%1.%2.%3.%4.%5.%6.%7.%8."/>
      <w:lvlJc w:val="left"/>
      <w:pPr>
        <w:tabs>
          <w:tab w:val="num" w:pos="5400"/>
        </w:tabs>
        <w:ind w:left="3744" w:hanging="1224"/>
      </w:pPr>
      <w:rPr>
        <w:rFonts w:ascii="Times New Roman" w:hAnsi="Times New Roman" w:cs="Times New Roman" w:hint="default"/>
      </w:rPr>
    </w:lvl>
    <w:lvl w:ilvl="8">
      <w:start w:val="1"/>
      <w:numFmt w:val="decimal"/>
      <w:lvlText w:val="%1.%2.%3.%4.%5.%6.%7.%8.%9."/>
      <w:lvlJc w:val="left"/>
      <w:pPr>
        <w:tabs>
          <w:tab w:val="num" w:pos="6120"/>
        </w:tabs>
        <w:ind w:left="4320" w:hanging="1440"/>
      </w:pPr>
      <w:rPr>
        <w:rFonts w:ascii="Times New Roman" w:hAnsi="Times New Roman" w:cs="Times New Roman" w:hint="default"/>
      </w:rPr>
    </w:lvl>
  </w:abstractNum>
  <w:num w:numId="1" w16cid:durableId="1365714057">
    <w:abstractNumId w:val="1"/>
  </w:num>
  <w:num w:numId="2" w16cid:durableId="2060782139">
    <w:abstractNumId w:val="3"/>
  </w:num>
  <w:num w:numId="3" w16cid:durableId="2120449462">
    <w:abstractNumId w:val="0"/>
  </w:num>
  <w:num w:numId="4" w16cid:durableId="1456483744">
    <w:abstractNumId w:val="0"/>
  </w:num>
  <w:num w:numId="5" w16cid:durableId="179196972">
    <w:abstractNumId w:val="0"/>
  </w:num>
  <w:num w:numId="6" w16cid:durableId="1879511421">
    <w:abstractNumId w:val="0"/>
  </w:num>
  <w:num w:numId="7" w16cid:durableId="1319454969">
    <w:abstractNumId w:val="0"/>
  </w:num>
  <w:num w:numId="8" w16cid:durableId="1736199793">
    <w:abstractNumId w:val="0"/>
  </w:num>
  <w:num w:numId="9" w16cid:durableId="1643003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312"/>
    <w:rsid w:val="0002266A"/>
    <w:rsid w:val="000C32C3"/>
    <w:rsid w:val="00166DA4"/>
    <w:rsid w:val="0025014E"/>
    <w:rsid w:val="00323F6C"/>
    <w:rsid w:val="00356A73"/>
    <w:rsid w:val="003D333A"/>
    <w:rsid w:val="003E0DFE"/>
    <w:rsid w:val="00403FA1"/>
    <w:rsid w:val="0041122A"/>
    <w:rsid w:val="0048483A"/>
    <w:rsid w:val="004C01B9"/>
    <w:rsid w:val="004C13C8"/>
    <w:rsid w:val="004C2312"/>
    <w:rsid w:val="00512E08"/>
    <w:rsid w:val="005729DC"/>
    <w:rsid w:val="0057305F"/>
    <w:rsid w:val="006028BD"/>
    <w:rsid w:val="006C72CA"/>
    <w:rsid w:val="006F0EC6"/>
    <w:rsid w:val="006F26C9"/>
    <w:rsid w:val="007110B0"/>
    <w:rsid w:val="00724137"/>
    <w:rsid w:val="007A0AD1"/>
    <w:rsid w:val="007D6A3B"/>
    <w:rsid w:val="007F587E"/>
    <w:rsid w:val="008253FD"/>
    <w:rsid w:val="008678EF"/>
    <w:rsid w:val="008C7767"/>
    <w:rsid w:val="008E7EEA"/>
    <w:rsid w:val="008F2C12"/>
    <w:rsid w:val="00966A7E"/>
    <w:rsid w:val="0099260B"/>
    <w:rsid w:val="00A32582"/>
    <w:rsid w:val="00A444FC"/>
    <w:rsid w:val="00A74F23"/>
    <w:rsid w:val="00AA4D5F"/>
    <w:rsid w:val="00AB4B55"/>
    <w:rsid w:val="00AE3499"/>
    <w:rsid w:val="00AE35F3"/>
    <w:rsid w:val="00B521F1"/>
    <w:rsid w:val="00B845CB"/>
    <w:rsid w:val="00BA502E"/>
    <w:rsid w:val="00BE7E9E"/>
    <w:rsid w:val="00BF5323"/>
    <w:rsid w:val="00C12A63"/>
    <w:rsid w:val="00C3642E"/>
    <w:rsid w:val="00C45EFA"/>
    <w:rsid w:val="00C50E0B"/>
    <w:rsid w:val="00C55C2A"/>
    <w:rsid w:val="00C87A9F"/>
    <w:rsid w:val="00CC008B"/>
    <w:rsid w:val="00E156EC"/>
    <w:rsid w:val="00E22FDB"/>
    <w:rsid w:val="00E778F6"/>
    <w:rsid w:val="00E976F4"/>
    <w:rsid w:val="00EB3BA7"/>
    <w:rsid w:val="00F77BEC"/>
    <w:rsid w:val="00FC57F7"/>
    <w:rsid w:val="00FC764D"/>
    <w:rsid w:val="00FD1CED"/>
    <w:rsid w:val="00FF0D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688FBF"/>
  <w15:docId w15:val="{11F1512B-ED08-4DAD-9A50-1B337EB5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8F6"/>
    <w:pPr>
      <w:spacing w:after="0" w:line="240" w:lineRule="auto"/>
      <w:jc w:val="both"/>
    </w:pPr>
    <w:rPr>
      <w:rFonts w:ascii="Arial" w:hAnsi="Arial" w:cs="Arial"/>
      <w:lang w:eastAsia="en-US"/>
    </w:rPr>
  </w:style>
  <w:style w:type="paragraph" w:styleId="Heading1">
    <w:name w:val="heading 1"/>
    <w:basedOn w:val="Normal"/>
    <w:next w:val="Normal"/>
    <w:link w:val="Heading1Char"/>
    <w:uiPriority w:val="99"/>
    <w:qFormat/>
    <w:rsid w:val="00E778F6"/>
    <w:pPr>
      <w:keepNext/>
      <w:numPr>
        <w:numId w:val="9"/>
      </w:numPr>
      <w:spacing w:before="240" w:after="60"/>
      <w:outlineLvl w:val="0"/>
    </w:pPr>
    <w:rPr>
      <w:b/>
      <w:bCs/>
      <w:caps/>
      <w:kern w:val="28"/>
    </w:rPr>
  </w:style>
  <w:style w:type="paragraph" w:styleId="Heading2">
    <w:name w:val="heading 2"/>
    <w:basedOn w:val="Normal"/>
    <w:next w:val="Normal"/>
    <w:link w:val="Heading2Char"/>
    <w:uiPriority w:val="99"/>
    <w:qFormat/>
    <w:rsid w:val="00E778F6"/>
    <w:pPr>
      <w:keepNext/>
      <w:numPr>
        <w:ilvl w:val="1"/>
        <w:numId w:val="3"/>
      </w:numPr>
      <w:spacing w:before="240" w:after="60"/>
      <w:outlineLvl w:val="1"/>
    </w:pPr>
    <w:rPr>
      <w:b/>
      <w:bCs/>
    </w:rPr>
  </w:style>
  <w:style w:type="paragraph" w:styleId="Heading3">
    <w:name w:val="heading 3"/>
    <w:basedOn w:val="Normal"/>
    <w:next w:val="Normal"/>
    <w:link w:val="Heading3Char"/>
    <w:uiPriority w:val="99"/>
    <w:qFormat/>
    <w:rsid w:val="00E778F6"/>
    <w:pPr>
      <w:keepNext/>
      <w:spacing w:after="120"/>
      <w:outlineLvl w:val="2"/>
    </w:pPr>
    <w:rPr>
      <w:vanish/>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778F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E778F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locked/>
    <w:rsid w:val="00E778F6"/>
    <w:rPr>
      <w:rFonts w:asciiTheme="majorHAnsi" w:eastAsiaTheme="majorEastAsia" w:hAnsiTheme="majorHAnsi" w:cstheme="majorBidi"/>
      <w:b/>
      <w:bCs/>
      <w:sz w:val="26"/>
      <w:szCs w:val="26"/>
      <w:lang w:eastAsia="en-US"/>
    </w:rPr>
  </w:style>
  <w:style w:type="paragraph" w:styleId="BalloonText">
    <w:name w:val="Balloon Text"/>
    <w:basedOn w:val="Normal"/>
    <w:link w:val="BalloonTextChar"/>
    <w:uiPriority w:val="99"/>
    <w:semiHidden/>
    <w:rsid w:val="00C87A9F"/>
    <w:pPr>
      <w:jc w:val="left"/>
    </w:pPr>
    <w:rPr>
      <w:rFonts w:ascii="Tahoma" w:hAnsi="Tahoma" w:cs="Tahoma"/>
      <w:sz w:val="16"/>
      <w:szCs w:val="16"/>
      <w:lang w:eastAsia="en-AU"/>
    </w:rPr>
  </w:style>
  <w:style w:type="character" w:customStyle="1" w:styleId="BalloonTextChar">
    <w:name w:val="Balloon Text Char"/>
    <w:basedOn w:val="DefaultParagraphFont"/>
    <w:link w:val="BalloonText"/>
    <w:uiPriority w:val="99"/>
    <w:semiHidden/>
    <w:locked/>
    <w:rsid w:val="00E778F6"/>
    <w:rPr>
      <w:rFonts w:ascii="Tahoma" w:hAnsi="Tahoma" w:cs="Tahoma"/>
      <w:sz w:val="16"/>
      <w:szCs w:val="16"/>
      <w:lang w:eastAsia="en-US"/>
    </w:rPr>
  </w:style>
  <w:style w:type="paragraph" w:styleId="Header">
    <w:name w:val="header"/>
    <w:basedOn w:val="Normal"/>
    <w:link w:val="HeaderChar"/>
    <w:uiPriority w:val="99"/>
    <w:rsid w:val="00E778F6"/>
    <w:pPr>
      <w:tabs>
        <w:tab w:val="center" w:pos="4153"/>
        <w:tab w:val="right" w:pos="8306"/>
      </w:tabs>
    </w:pPr>
  </w:style>
  <w:style w:type="character" w:customStyle="1" w:styleId="HeaderChar">
    <w:name w:val="Header Char"/>
    <w:basedOn w:val="DefaultParagraphFont"/>
    <w:link w:val="Header"/>
    <w:uiPriority w:val="99"/>
    <w:semiHidden/>
    <w:locked/>
    <w:rsid w:val="00E778F6"/>
    <w:rPr>
      <w:rFonts w:ascii="Arial" w:hAnsi="Arial" w:cs="Arial"/>
      <w:lang w:eastAsia="en-US"/>
    </w:rPr>
  </w:style>
  <w:style w:type="paragraph" w:styleId="Footer">
    <w:name w:val="footer"/>
    <w:basedOn w:val="Normal"/>
    <w:link w:val="FooterChar"/>
    <w:uiPriority w:val="99"/>
    <w:rsid w:val="00E778F6"/>
    <w:pPr>
      <w:tabs>
        <w:tab w:val="center" w:pos="4153"/>
        <w:tab w:val="right" w:pos="8306"/>
      </w:tabs>
    </w:pPr>
  </w:style>
  <w:style w:type="character" w:customStyle="1" w:styleId="FooterChar">
    <w:name w:val="Footer Char"/>
    <w:basedOn w:val="DefaultParagraphFont"/>
    <w:link w:val="Footer"/>
    <w:uiPriority w:val="99"/>
    <w:semiHidden/>
    <w:locked/>
    <w:rsid w:val="00E778F6"/>
    <w:rPr>
      <w:rFonts w:ascii="Arial" w:hAnsi="Arial" w:cs="Arial"/>
      <w:lang w:eastAsia="en-US"/>
    </w:rPr>
  </w:style>
  <w:style w:type="character" w:styleId="Hyperlink">
    <w:name w:val="Hyperlink"/>
    <w:basedOn w:val="DefaultParagraphFont"/>
    <w:uiPriority w:val="99"/>
    <w:rsid w:val="008C7767"/>
    <w:rPr>
      <w:rFonts w:ascii="Arial" w:hAnsi="Arial" w:cs="Times New Roman"/>
      <w:color w:val="C00000"/>
      <w:sz w:val="22"/>
      <w:u w:val="single"/>
    </w:rPr>
  </w:style>
  <w:style w:type="paragraph" w:styleId="BodyText">
    <w:name w:val="Body Text"/>
    <w:basedOn w:val="Normal"/>
    <w:link w:val="BodyTextChar"/>
    <w:uiPriority w:val="99"/>
    <w:rsid w:val="00E778F6"/>
    <w:pPr>
      <w:spacing w:after="120"/>
    </w:pPr>
  </w:style>
  <w:style w:type="character" w:customStyle="1" w:styleId="BodyTextChar">
    <w:name w:val="Body Text Char"/>
    <w:basedOn w:val="DefaultParagraphFont"/>
    <w:link w:val="BodyText"/>
    <w:uiPriority w:val="99"/>
    <w:semiHidden/>
    <w:locked/>
    <w:rsid w:val="00E778F6"/>
    <w:rPr>
      <w:rFonts w:ascii="Arial" w:hAnsi="Arial" w:cs="Arial"/>
      <w:lang w:eastAsia="en-US"/>
    </w:rPr>
  </w:style>
  <w:style w:type="character" w:styleId="PageNumber">
    <w:name w:val="page number"/>
    <w:basedOn w:val="DefaultParagraphFont"/>
    <w:uiPriority w:val="99"/>
    <w:rsid w:val="00E778F6"/>
    <w:rPr>
      <w:rFonts w:ascii="Times New Roman" w:hAnsi="Times New Roman" w:cs="Times New Roman"/>
    </w:rPr>
  </w:style>
  <w:style w:type="paragraph" w:styleId="BodyText2">
    <w:name w:val="Body Text 2"/>
    <w:basedOn w:val="Normal"/>
    <w:link w:val="BodyText2Char"/>
    <w:uiPriority w:val="99"/>
    <w:rsid w:val="00E778F6"/>
  </w:style>
  <w:style w:type="character" w:customStyle="1" w:styleId="BodyText2Char">
    <w:name w:val="Body Text 2 Char"/>
    <w:basedOn w:val="DefaultParagraphFont"/>
    <w:link w:val="BodyText2"/>
    <w:uiPriority w:val="99"/>
    <w:semiHidden/>
    <w:locked/>
    <w:rsid w:val="00E778F6"/>
    <w:rPr>
      <w:rFonts w:ascii="Arial" w:hAnsi="Arial" w:cs="Arial"/>
      <w:lang w:eastAsia="en-US"/>
    </w:rPr>
  </w:style>
  <w:style w:type="character" w:styleId="FollowedHyperlink">
    <w:name w:val="FollowedHyperlink"/>
    <w:basedOn w:val="DefaultParagraphFont"/>
    <w:uiPriority w:val="99"/>
    <w:rsid w:val="00E778F6"/>
    <w:rPr>
      <w:rFonts w:ascii="Times New Roman" w:hAnsi="Times New Roman" w:cs="Times New Roman"/>
      <w:color w:val="800080"/>
      <w:u w:val="single"/>
    </w:rPr>
  </w:style>
  <w:style w:type="paragraph" w:customStyle="1" w:styleId="DocumentContent">
    <w:name w:val="Document Content"/>
    <w:basedOn w:val="Normal"/>
    <w:link w:val="DocumentContentChar"/>
    <w:rsid w:val="0041122A"/>
    <w:pPr>
      <w:spacing w:after="120"/>
      <w:jc w:val="left"/>
    </w:pPr>
    <w:rPr>
      <w:rFonts w:cs="Times New Roman"/>
      <w:bCs/>
      <w:szCs w:val="20"/>
    </w:rPr>
  </w:style>
  <w:style w:type="character" w:customStyle="1" w:styleId="DocumentContentChar">
    <w:name w:val="Document Content Char"/>
    <w:basedOn w:val="DefaultParagraphFont"/>
    <w:link w:val="DocumentContent"/>
    <w:rsid w:val="0041122A"/>
    <w:rPr>
      <w:rFonts w:ascii="Arial" w:hAnsi="Arial"/>
      <w:bCs/>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29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vironment.sa.gov.au/" TargetMode="External"/><Relationship Id="rId3" Type="http://schemas.openxmlformats.org/officeDocument/2006/relationships/settings" Target="settings.xml"/><Relationship Id="rId7" Type="http://schemas.openxmlformats.org/officeDocument/2006/relationships/hyperlink" Target="http://www.bpims.sa.gov.au/bpims/library/showLibrary.d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1002</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SCHEDULE 4:</vt:lpstr>
    </vt:vector>
  </TitlesOfParts>
  <Company>DTEI</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4:</dc:title>
  <dc:creator>CarrJ01</dc:creator>
  <cp:lastModifiedBy>Webb, Georgette (DIT)</cp:lastModifiedBy>
  <cp:revision>8</cp:revision>
  <cp:lastPrinted>2009-09-10T03:22:00Z</cp:lastPrinted>
  <dcterms:created xsi:type="dcterms:W3CDTF">2014-05-22T00:18:00Z</dcterms:created>
  <dcterms:modified xsi:type="dcterms:W3CDTF">2022-09-07T23:47:00Z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2022-09-07T23:47:09Z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473496ac-89ab-43df-98bc-c8459a5741a1</vt:lpwstr>
  </property>
  <property fmtid="{D5CDD505-2E9C-101B-9397-08002B2CF9AE}" pid="8" name="MSIP_Label_77274858-3b1d-4431-8679-d878f40e28fd_ContentBits">
    <vt:lpwstr>1</vt:lpwstr>
  </property>
</Properties>
</file>