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5C6CD" w14:textId="3BBA7D75" w:rsidR="00DF2F87" w:rsidRPr="00D75F6E" w:rsidRDefault="00DF2F87" w:rsidP="00DF2F87">
      <w:pPr>
        <w:pStyle w:val="Body"/>
        <w:ind w:left="-1276"/>
        <w:rPr>
          <w:rFonts w:eastAsia="Arial Unicode MS"/>
          <w:color w:val="auto"/>
          <w:sz w:val="24"/>
          <w:szCs w:val="24"/>
          <w:bdr w:val="none" w:sz="0" w:space="0" w:color="auto"/>
          <w:lang w:val="en-AU" w:eastAsia="en-US"/>
        </w:rPr>
      </w:pPr>
    </w:p>
    <w:p w14:paraId="67C8973D" w14:textId="5EE1DD05" w:rsidR="00DF2F87" w:rsidRPr="00DC3597" w:rsidRDefault="00697CF2" w:rsidP="00DC3597">
      <w:pPr>
        <w:pStyle w:val="Body"/>
        <w:spacing w:after="360"/>
        <w:ind w:right="-142"/>
        <w:rPr>
          <w:rFonts w:ascii="Verdana" w:eastAsia="Arial Unicode MS" w:hAnsi="Verdana"/>
          <w:color w:val="000000" w:themeColor="text1"/>
          <w:sz w:val="26"/>
          <w:szCs w:val="26"/>
          <w:bdr w:val="none" w:sz="0" w:space="0" w:color="auto"/>
          <w:lang w:val="en-AU" w:eastAsia="en-US"/>
        </w:rPr>
      </w:pPr>
      <w:r w:rsidRPr="00DC3597">
        <w:rPr>
          <w:rFonts w:ascii="Verdana" w:hAnsi="Verdana"/>
          <w:color w:val="000000" w:themeColor="text1"/>
          <w:sz w:val="26"/>
          <w:szCs w:val="26"/>
          <w:lang w:val="en-AU"/>
        </w:rPr>
        <w:t xml:space="preserve">Section 73(10) of the </w:t>
      </w:r>
      <w:r w:rsidRPr="00DC3597">
        <w:rPr>
          <w:rFonts w:ascii="Verdana" w:hAnsi="Verdana"/>
          <w:i/>
          <w:color w:val="000000" w:themeColor="text1"/>
          <w:sz w:val="26"/>
          <w:szCs w:val="26"/>
          <w:lang w:val="en-AU"/>
        </w:rPr>
        <w:t>Planning, Development and Infrastructure Act 2016</w:t>
      </w:r>
    </w:p>
    <w:p w14:paraId="08C35EC0" w14:textId="77777777" w:rsidR="00697CF2" w:rsidRPr="006705C7" w:rsidRDefault="00697CF2" w:rsidP="00697CF2">
      <w:pPr>
        <w:spacing w:after="100" w:afterAutospacing="1" w:line="240" w:lineRule="auto"/>
        <w:rPr>
          <w:rFonts w:ascii="Verdana" w:hAnsi="Verdana"/>
          <w:color w:val="000000" w:themeColor="text1"/>
          <w:sz w:val="46"/>
          <w:szCs w:val="46"/>
        </w:rPr>
      </w:pPr>
      <w:r w:rsidRPr="006705C7">
        <w:rPr>
          <w:rFonts w:ascii="Verdana" w:hAnsi="Verdana"/>
          <w:color w:val="000000" w:themeColor="text1"/>
          <w:sz w:val="46"/>
          <w:szCs w:val="46"/>
        </w:rPr>
        <w:t xml:space="preserve">&lt;name of code amendment&gt; </w:t>
      </w:r>
    </w:p>
    <w:p w14:paraId="4A1691BD" w14:textId="77777777" w:rsidR="00697CF2" w:rsidRPr="00DC3597" w:rsidRDefault="00697CF2" w:rsidP="00697CF2">
      <w:pPr>
        <w:spacing w:after="0"/>
        <w:rPr>
          <w:rFonts w:ascii="Verdana" w:hAnsi="Verdana"/>
          <w:color w:val="000000" w:themeColor="text1"/>
          <w:sz w:val="28"/>
          <w:szCs w:val="28"/>
        </w:rPr>
      </w:pPr>
      <w:r w:rsidRPr="00DC3597">
        <w:rPr>
          <w:rFonts w:ascii="Verdana" w:hAnsi="Verdana"/>
          <w:color w:val="000000" w:themeColor="text1"/>
          <w:sz w:val="28"/>
          <w:szCs w:val="28"/>
        </w:rPr>
        <w:t>By &lt;name of Designated Entity&gt;</w:t>
      </w:r>
    </w:p>
    <w:p w14:paraId="155EE73D" w14:textId="105F97B1" w:rsidR="00DF2F87" w:rsidRPr="00DC3597" w:rsidRDefault="00DF2F87" w:rsidP="00697CF2">
      <w:pPr>
        <w:pStyle w:val="Body"/>
        <w:rPr>
          <w:rFonts w:ascii="Verdana" w:eastAsia="Arial Unicode MS" w:hAnsi="Verdana"/>
          <w:color w:val="000000" w:themeColor="text1"/>
          <w:sz w:val="24"/>
          <w:szCs w:val="24"/>
          <w:bdr w:val="none" w:sz="0" w:space="0" w:color="auto"/>
          <w:lang w:val="en-AU" w:eastAsia="en-US"/>
        </w:rPr>
      </w:pPr>
    </w:p>
    <w:p w14:paraId="3852FCC3" w14:textId="62B7899F" w:rsidR="00697CF2" w:rsidRPr="00DC3597" w:rsidRDefault="00697CF2" w:rsidP="00DC3597">
      <w:pPr>
        <w:pStyle w:val="Body"/>
        <w:spacing w:after="7938"/>
        <w:rPr>
          <w:rFonts w:ascii="Verdana" w:eastAsia="Arial Unicode MS" w:hAnsi="Verdana"/>
          <w:color w:val="000000" w:themeColor="text1"/>
          <w:sz w:val="32"/>
          <w:szCs w:val="32"/>
          <w:bdr w:val="none" w:sz="0" w:space="0" w:color="auto"/>
          <w:lang w:val="en-AU" w:eastAsia="en-US"/>
        </w:rPr>
      </w:pPr>
      <w:r w:rsidRPr="00DC3597">
        <w:rPr>
          <w:rFonts w:ascii="Verdana" w:hAnsi="Verdana"/>
          <w:b/>
          <w:color w:val="000000" w:themeColor="text1"/>
          <w:sz w:val="32"/>
          <w:szCs w:val="32"/>
        </w:rPr>
        <w:t>AMENDMENT INSTRUCTIONS</w:t>
      </w:r>
    </w:p>
    <w:sdt>
      <w:sdtPr>
        <w:rPr>
          <w:rFonts w:ascii="Arial" w:eastAsia="Arial Unicode MS" w:hAnsi="Arial" w:cstheme="minorBidi"/>
          <w:color w:val="auto"/>
          <w:sz w:val="24"/>
          <w:szCs w:val="24"/>
          <w:bdr w:val="none" w:sz="0" w:space="0" w:color="auto"/>
          <w:lang w:val="en-AU" w:eastAsia="en-US"/>
        </w:rPr>
        <w:id w:val="1010262426"/>
        <w:docPartObj>
          <w:docPartGallery w:val="Cover Pages"/>
          <w:docPartUnique/>
        </w:docPartObj>
      </w:sdtPr>
      <w:sdtEndPr>
        <w:rPr>
          <w:rFonts w:eastAsiaTheme="minorHAnsi"/>
          <w:sz w:val="20"/>
        </w:rPr>
      </w:sdtEndPr>
      <w:sdtContent>
        <w:p w14:paraId="25CF2151" w14:textId="59EC8B57" w:rsidR="00697CF2" w:rsidRPr="00DC3597" w:rsidRDefault="00697CF2" w:rsidP="00DC3597">
          <w:pPr>
            <w:pStyle w:val="Body"/>
            <w:rPr>
              <w:rFonts w:ascii="Arial" w:hAnsi="Arial" w:cs="Arial"/>
              <w:sz w:val="24"/>
            </w:rPr>
          </w:pPr>
          <w:r w:rsidRPr="00DC3597">
            <w:rPr>
              <w:rFonts w:ascii="Arial" w:hAnsi="Arial" w:cs="Arial"/>
              <w:sz w:val="24"/>
            </w:rPr>
            <w:t>Adopted by:</w:t>
          </w:r>
        </w:p>
        <w:p w14:paraId="163DE450" w14:textId="77777777" w:rsidR="00697CF2" w:rsidRPr="00DC3597" w:rsidRDefault="00697CF2" w:rsidP="00697CF2">
          <w:pPr>
            <w:spacing w:after="60"/>
            <w:rPr>
              <w:rFonts w:cs="Arial"/>
              <w:b/>
              <w:sz w:val="24"/>
              <w:lang w:val="en-US"/>
            </w:rPr>
          </w:pPr>
        </w:p>
        <w:p w14:paraId="5F6C9A44" w14:textId="77777777" w:rsidR="00697CF2" w:rsidRPr="00DC3597" w:rsidRDefault="00697CF2" w:rsidP="00697CF2">
          <w:pPr>
            <w:spacing w:after="60"/>
            <w:rPr>
              <w:rFonts w:cs="Arial"/>
              <w:sz w:val="24"/>
              <w:lang w:val="en-US"/>
            </w:rPr>
          </w:pPr>
          <w:r w:rsidRPr="00DC3597">
            <w:rPr>
              <w:rFonts w:cs="Arial"/>
              <w:sz w:val="24"/>
              <w:lang w:val="en-US"/>
            </w:rPr>
            <w:t>................................</w:t>
          </w:r>
        </w:p>
        <w:p w14:paraId="64670E4C" w14:textId="77777777" w:rsidR="00697CF2" w:rsidRPr="00DC3597" w:rsidRDefault="00697CF2" w:rsidP="00697CF2">
          <w:pPr>
            <w:spacing w:after="60"/>
            <w:rPr>
              <w:rFonts w:cs="Arial"/>
              <w:b/>
              <w:sz w:val="24"/>
              <w:lang w:val="en-US"/>
            </w:rPr>
          </w:pPr>
          <w:r w:rsidRPr="00DC3597">
            <w:rPr>
              <w:rFonts w:cs="Arial"/>
              <w:b/>
              <w:sz w:val="24"/>
              <w:lang w:val="en-US"/>
            </w:rPr>
            <w:t xml:space="preserve">Hon Nick Champion </w:t>
          </w:r>
        </w:p>
        <w:p w14:paraId="609C7384" w14:textId="77777777" w:rsidR="00697CF2" w:rsidRPr="00DC3597" w:rsidRDefault="00697CF2" w:rsidP="00697CF2">
          <w:pPr>
            <w:spacing w:after="60"/>
            <w:rPr>
              <w:rFonts w:cs="Arial"/>
              <w:sz w:val="24"/>
              <w:lang w:val="en-US"/>
            </w:rPr>
          </w:pPr>
          <w:r w:rsidRPr="00DC3597">
            <w:rPr>
              <w:rFonts w:cs="Arial"/>
              <w:sz w:val="24"/>
              <w:lang w:val="en-US"/>
            </w:rPr>
            <w:t xml:space="preserve">Minister for Planning </w:t>
          </w:r>
        </w:p>
        <w:p w14:paraId="6D087D18" w14:textId="77777777" w:rsidR="00697CF2" w:rsidRPr="00DC3597" w:rsidRDefault="00697CF2" w:rsidP="00697CF2">
          <w:pPr>
            <w:spacing w:after="0"/>
            <w:rPr>
              <w:rFonts w:cs="Arial"/>
              <w:sz w:val="24"/>
              <w:lang w:val="en-US"/>
            </w:rPr>
          </w:pPr>
          <w:r w:rsidRPr="00DC3597">
            <w:rPr>
              <w:rFonts w:cs="Arial"/>
              <w:sz w:val="24"/>
              <w:lang w:val="en-US"/>
            </w:rPr>
            <w:t>..../...../......</w:t>
          </w:r>
        </w:p>
        <w:p w14:paraId="1D41803F" w14:textId="77777777" w:rsidR="003C1A07" w:rsidRPr="00DC3597" w:rsidRDefault="003C1A07" w:rsidP="00697CF2">
          <w:pPr>
            <w:pStyle w:val="Body"/>
            <w:rPr>
              <w:rFonts w:ascii="Arial" w:eastAsia="Arial Unicode MS" w:hAnsi="Arial" w:cs="Arial"/>
              <w:color w:val="auto"/>
              <w:sz w:val="24"/>
              <w:szCs w:val="24"/>
              <w:bdr w:val="none" w:sz="0" w:space="0" w:color="auto"/>
              <w:lang w:val="en-AU" w:eastAsia="en-US"/>
            </w:rPr>
          </w:pPr>
        </w:p>
        <w:p w14:paraId="74E1AA21" w14:textId="77777777" w:rsidR="003C1A07" w:rsidRDefault="003C1A07" w:rsidP="00697CF2">
          <w:pPr>
            <w:pStyle w:val="Body"/>
            <w:rPr>
              <w:rFonts w:eastAsia="Arial Unicode MS"/>
              <w:color w:val="auto"/>
              <w:sz w:val="24"/>
              <w:szCs w:val="24"/>
              <w:bdr w:val="none" w:sz="0" w:space="0" w:color="auto"/>
              <w:lang w:val="en-AU" w:eastAsia="en-US"/>
            </w:rPr>
            <w:sectPr w:rsidR="003C1A07" w:rsidSect="00DC3597">
              <w:headerReference w:type="default" r:id="rId8"/>
              <w:pgSz w:w="11907" w:h="16839" w:code="9"/>
              <w:pgMar w:top="851" w:right="1134" w:bottom="567" w:left="1134" w:header="567" w:footer="709" w:gutter="0"/>
              <w:cols w:space="708"/>
              <w:docGrid w:linePitch="360"/>
            </w:sectPr>
          </w:pPr>
        </w:p>
        <w:p w14:paraId="1048AB81" w14:textId="77777777" w:rsidR="00DF2F87" w:rsidRPr="00D75F6E" w:rsidRDefault="00361959" w:rsidP="00DC3597">
          <w:pPr>
            <w:rPr>
              <w:rFonts w:eastAsia="Arial Unicode MS"/>
              <w:sz w:val="24"/>
              <w:lang w:val="en-AU"/>
            </w:rPr>
          </w:pPr>
        </w:p>
      </w:sdtContent>
    </w:sdt>
    <w:p w14:paraId="4EE81C8C" w14:textId="22094A67" w:rsidR="000A7BCF" w:rsidRPr="00983C9A" w:rsidRDefault="00A808E5" w:rsidP="00DC3597">
      <w:pPr>
        <w:pStyle w:val="Heading1"/>
        <w:spacing w:before="0" w:after="0"/>
        <w:rPr>
          <w:sz w:val="40"/>
          <w:lang w:val="en-AU"/>
        </w:rPr>
      </w:pPr>
      <w:bookmarkStart w:id="0" w:name="_Toc87356294"/>
      <w:r>
        <w:rPr>
          <w:sz w:val="40"/>
          <w:lang w:val="en-AU"/>
        </w:rPr>
        <w:t>&lt;name of code amendment&gt;</w:t>
      </w:r>
      <w:r w:rsidR="000A7BCF" w:rsidRPr="00983C9A">
        <w:rPr>
          <w:sz w:val="40"/>
          <w:lang w:val="en-AU"/>
        </w:rPr>
        <w:t xml:space="preserve"> </w:t>
      </w:r>
    </w:p>
    <w:p w14:paraId="399C18E7" w14:textId="77777777" w:rsidR="008B79F6" w:rsidRDefault="008B79F6" w:rsidP="00DC3597">
      <w:pPr>
        <w:pStyle w:val="Heading1"/>
        <w:spacing w:before="360"/>
        <w:rPr>
          <w:lang w:val="en-AU"/>
        </w:rPr>
      </w:pPr>
      <w:r>
        <w:rPr>
          <w:lang w:val="en-AU"/>
        </w:rPr>
        <w:t>Preamble</w:t>
      </w:r>
    </w:p>
    <w:p w14:paraId="27F111CD" w14:textId="073142F2" w:rsidR="00A808E5" w:rsidRDefault="00A808E5" w:rsidP="00BE216E">
      <w:pPr>
        <w:rPr>
          <w:color w:val="000000"/>
          <w:szCs w:val="20"/>
        </w:rPr>
      </w:pPr>
      <w:r>
        <w:rPr>
          <w:color w:val="000000"/>
          <w:szCs w:val="20"/>
        </w:rPr>
        <w:t>The amendment instructions below reflect the proposed changes to the Planning and Design Code</w:t>
      </w:r>
      <w:r w:rsidR="00E03F8D">
        <w:rPr>
          <w:color w:val="000000"/>
          <w:szCs w:val="20"/>
        </w:rPr>
        <w:t xml:space="preserve"> (the Code)</w:t>
      </w:r>
      <w:r>
        <w:rPr>
          <w:color w:val="000000"/>
          <w:szCs w:val="20"/>
        </w:rPr>
        <w:t xml:space="preserve"> as outlined in the Draft Code Amendment released for public </w:t>
      </w:r>
      <w:r w:rsidR="00E03F8D">
        <w:rPr>
          <w:color w:val="000000"/>
          <w:szCs w:val="20"/>
        </w:rPr>
        <w:t>engagement</w:t>
      </w:r>
      <w:r>
        <w:rPr>
          <w:color w:val="000000"/>
          <w:szCs w:val="20"/>
        </w:rPr>
        <w:t xml:space="preserve">. No changes were made to the Draft Amendment by the Designated Entity </w:t>
      </w:r>
      <w:proofErr w:type="gramStart"/>
      <w:r>
        <w:rPr>
          <w:color w:val="000000"/>
          <w:szCs w:val="20"/>
        </w:rPr>
        <w:t>as a result of</w:t>
      </w:r>
      <w:proofErr w:type="gramEnd"/>
      <w:r>
        <w:rPr>
          <w:color w:val="000000"/>
          <w:szCs w:val="20"/>
        </w:rPr>
        <w:t xml:space="preserve"> public </w:t>
      </w:r>
      <w:r w:rsidR="00E03F8D">
        <w:rPr>
          <w:color w:val="000000"/>
          <w:szCs w:val="20"/>
        </w:rPr>
        <w:t xml:space="preserve">engagement </w:t>
      </w:r>
      <w:r>
        <w:rPr>
          <w:color w:val="000000"/>
          <w:szCs w:val="20"/>
        </w:rPr>
        <w:t xml:space="preserve">(as outlined in the Engagement Report furnished to the Minister for Planning by the Designated Entity under section 73(7) of the </w:t>
      </w:r>
      <w:r>
        <w:rPr>
          <w:i/>
          <w:iCs/>
          <w:color w:val="000000"/>
          <w:szCs w:val="20"/>
        </w:rPr>
        <w:t xml:space="preserve">Planning, Development and Infrastructure Act 2016 </w:t>
      </w:r>
      <w:r>
        <w:rPr>
          <w:color w:val="000000"/>
          <w:szCs w:val="20"/>
        </w:rPr>
        <w:t>[the Act]).</w:t>
      </w:r>
    </w:p>
    <w:p w14:paraId="104679BD" w14:textId="7AB90D0A" w:rsidR="009B495D" w:rsidRDefault="009B495D" w:rsidP="00BE216E">
      <w:pPr>
        <w:rPr>
          <w:lang w:val="en-AU"/>
        </w:rPr>
      </w:pPr>
      <w:r>
        <w:rPr>
          <w:color w:val="000000"/>
          <w:szCs w:val="20"/>
        </w:rPr>
        <w:t>OR</w:t>
      </w:r>
    </w:p>
    <w:p w14:paraId="67FE3875" w14:textId="7F9AB628" w:rsidR="00BE216E" w:rsidRPr="00AB2CD7" w:rsidRDefault="008B79F6" w:rsidP="00BE216E">
      <w:pPr>
        <w:rPr>
          <w:rFonts w:ascii="Calibri" w:hAnsi="Calibri"/>
          <w:szCs w:val="22"/>
          <w:lang w:val="en-AU"/>
        </w:rPr>
      </w:pPr>
      <w:r>
        <w:rPr>
          <w:lang w:val="en-AU"/>
        </w:rPr>
        <w:t xml:space="preserve">The amendment instructions below reflect the proposed changes to the Planning and Design Code </w:t>
      </w:r>
      <w:r w:rsidR="00E03F8D">
        <w:rPr>
          <w:lang w:val="en-AU"/>
        </w:rPr>
        <w:t xml:space="preserve">(the Code) </w:t>
      </w:r>
      <w:r>
        <w:rPr>
          <w:lang w:val="en-AU"/>
        </w:rPr>
        <w:t xml:space="preserve">as outlined in the Draft Code Amendment released for public </w:t>
      </w:r>
      <w:r w:rsidR="00E03F8D">
        <w:rPr>
          <w:lang w:val="en-AU"/>
        </w:rPr>
        <w:t>engagement</w:t>
      </w:r>
      <w:r>
        <w:rPr>
          <w:lang w:val="en-AU"/>
        </w:rPr>
        <w:t xml:space="preserve">. </w:t>
      </w:r>
      <w:r w:rsidR="0035055A">
        <w:rPr>
          <w:lang w:val="en-AU"/>
        </w:rPr>
        <w:t>C</w:t>
      </w:r>
      <w:r>
        <w:rPr>
          <w:lang w:val="en-AU"/>
        </w:rPr>
        <w:t xml:space="preserve">hanges </w:t>
      </w:r>
      <w:r w:rsidR="00BE216E">
        <w:rPr>
          <w:lang w:val="en-AU"/>
        </w:rPr>
        <w:t>were</w:t>
      </w:r>
      <w:r>
        <w:rPr>
          <w:lang w:val="en-AU"/>
        </w:rPr>
        <w:t xml:space="preserve"> made to the Draft Amendment by the Designated Entity </w:t>
      </w:r>
      <w:proofErr w:type="gramStart"/>
      <w:r>
        <w:rPr>
          <w:lang w:val="en-AU"/>
        </w:rPr>
        <w:t>as a result of</w:t>
      </w:r>
      <w:proofErr w:type="gramEnd"/>
      <w:r>
        <w:rPr>
          <w:lang w:val="en-AU"/>
        </w:rPr>
        <w:t xml:space="preserve"> public </w:t>
      </w:r>
      <w:r w:rsidR="00E03F8D">
        <w:rPr>
          <w:lang w:val="en-AU"/>
        </w:rPr>
        <w:t xml:space="preserve">engagement </w:t>
      </w:r>
      <w:r>
        <w:rPr>
          <w:lang w:val="en-AU"/>
        </w:rPr>
        <w:t xml:space="preserve">(outlined in the Engagement Report furnished to the Minister for Planning by the Designated Entity under section 73(7) of the </w:t>
      </w:r>
      <w:r w:rsidRPr="004B1E17">
        <w:rPr>
          <w:i/>
          <w:lang w:val="en-AU"/>
        </w:rPr>
        <w:t>Planning, Development and Infrastructure Act 2016</w:t>
      </w:r>
      <w:r>
        <w:rPr>
          <w:i/>
          <w:lang w:val="en-AU"/>
        </w:rPr>
        <w:t xml:space="preserve"> </w:t>
      </w:r>
      <w:r w:rsidRPr="00BA037C">
        <w:rPr>
          <w:lang w:val="en-AU"/>
        </w:rPr>
        <w:t>[the Act</w:t>
      </w:r>
      <w:r w:rsidRPr="00AB2CD7">
        <w:rPr>
          <w:lang w:val="en-AU"/>
        </w:rPr>
        <w:t>])</w:t>
      </w:r>
      <w:r w:rsidR="00BE216E" w:rsidRPr="00AB2CD7">
        <w:rPr>
          <w:lang w:val="en-AU"/>
        </w:rPr>
        <w:t xml:space="preserve"> as follows:</w:t>
      </w:r>
    </w:p>
    <w:p w14:paraId="3DEC69E4" w14:textId="22996690" w:rsidR="00BE216E" w:rsidRPr="00A808E5" w:rsidRDefault="009B495D" w:rsidP="00BE216E">
      <w:pPr>
        <w:pStyle w:val="ListParagraph"/>
        <w:numPr>
          <w:ilvl w:val="0"/>
          <w:numId w:val="9"/>
        </w:numPr>
        <w:tabs>
          <w:tab w:val="clear" w:pos="425"/>
          <w:tab w:val="clear" w:pos="851"/>
        </w:tabs>
        <w:spacing w:after="0" w:line="240" w:lineRule="auto"/>
        <w:contextualSpacing w:val="0"/>
        <w:rPr>
          <w:rFonts w:cs="Arial"/>
          <w:noProof w:val="0"/>
          <w:color w:val="808080" w:themeColor="background1" w:themeShade="80"/>
        </w:rPr>
      </w:pPr>
      <w:r>
        <w:rPr>
          <w:rFonts w:cs="Arial"/>
          <w:noProof w:val="0"/>
          <w:color w:val="808080" w:themeColor="background1" w:themeShade="80"/>
        </w:rPr>
        <w:t xml:space="preserve">EXAMPLE: </w:t>
      </w:r>
      <w:r w:rsidR="00BE216E" w:rsidRPr="00A808E5">
        <w:rPr>
          <w:rFonts w:cs="Arial"/>
          <w:noProof w:val="0"/>
          <w:color w:val="808080" w:themeColor="background1" w:themeShade="80"/>
        </w:rPr>
        <w:t xml:space="preserve">Alter the proposed Maximum Building Height (Levels) </w:t>
      </w:r>
      <w:r w:rsidR="00BE216E" w:rsidRPr="00A808E5">
        <w:rPr>
          <w:color w:val="808080" w:themeColor="background1" w:themeShade="80"/>
        </w:rPr>
        <w:t xml:space="preserve">Technical and Numeric Variation </w:t>
      </w:r>
      <w:r>
        <w:rPr>
          <w:rFonts w:cs="Arial"/>
          <w:noProof w:val="0"/>
          <w:color w:val="808080" w:themeColor="background1" w:themeShade="80"/>
        </w:rPr>
        <w:t>from 6</w:t>
      </w:r>
      <w:r w:rsidR="00FD2C6E" w:rsidRPr="00A808E5">
        <w:rPr>
          <w:rFonts w:cs="Arial"/>
          <w:noProof w:val="0"/>
          <w:color w:val="808080" w:themeColor="background1" w:themeShade="80"/>
        </w:rPr>
        <w:t> </w:t>
      </w:r>
      <w:r>
        <w:rPr>
          <w:rFonts w:cs="Arial"/>
          <w:noProof w:val="0"/>
          <w:color w:val="808080" w:themeColor="background1" w:themeShade="80"/>
        </w:rPr>
        <w:t>levels to 5</w:t>
      </w:r>
      <w:r w:rsidR="00BE216E" w:rsidRPr="00A808E5">
        <w:rPr>
          <w:rFonts w:cs="Arial"/>
          <w:noProof w:val="0"/>
          <w:color w:val="808080" w:themeColor="background1" w:themeShade="80"/>
        </w:rPr>
        <w:t xml:space="preserve"> levels.</w:t>
      </w:r>
    </w:p>
    <w:p w14:paraId="1685864F" w14:textId="77777777" w:rsidR="00BE216E" w:rsidRPr="00AB2CD7" w:rsidRDefault="00BE216E" w:rsidP="00BE216E">
      <w:pPr>
        <w:pStyle w:val="ListParagraph"/>
        <w:tabs>
          <w:tab w:val="clear" w:pos="425"/>
          <w:tab w:val="clear" w:pos="851"/>
        </w:tabs>
        <w:spacing w:after="0" w:line="240" w:lineRule="auto"/>
        <w:ind w:left="773" w:firstLine="0"/>
        <w:contextualSpacing w:val="0"/>
        <w:rPr>
          <w:rFonts w:cs="Arial"/>
          <w:noProof w:val="0"/>
        </w:rPr>
      </w:pPr>
    </w:p>
    <w:p w14:paraId="053BA778" w14:textId="77777777" w:rsidR="00BE216E" w:rsidRPr="00AB2CD7" w:rsidRDefault="00BE216E" w:rsidP="00BE216E">
      <w:pPr>
        <w:rPr>
          <w:lang w:val="en-AU"/>
        </w:rPr>
      </w:pPr>
      <w:r w:rsidRPr="00AB2CD7">
        <w:rPr>
          <w:lang w:val="en-AU"/>
        </w:rPr>
        <w:t>The amendment instructions below incorporate these changes.</w:t>
      </w:r>
    </w:p>
    <w:p w14:paraId="6539DB19" w14:textId="6D4B0B59" w:rsidR="000A7BCF" w:rsidRDefault="000A7BCF" w:rsidP="007D42A3">
      <w:pPr>
        <w:pStyle w:val="Heading1"/>
        <w:spacing w:before="480"/>
        <w:jc w:val="both"/>
        <w:rPr>
          <w:lang w:val="en-AU"/>
        </w:rPr>
      </w:pPr>
      <w:r w:rsidRPr="000A7BCF">
        <w:rPr>
          <w:lang w:val="en-AU"/>
        </w:rPr>
        <w:t xml:space="preserve">Amendment </w:t>
      </w:r>
      <w:r w:rsidR="00E03F8D">
        <w:rPr>
          <w:lang w:val="en-AU"/>
        </w:rPr>
        <w:t>i</w:t>
      </w:r>
      <w:r w:rsidRPr="000A7BCF">
        <w:rPr>
          <w:lang w:val="en-AU"/>
        </w:rPr>
        <w:t>nstructions</w:t>
      </w:r>
      <w:r>
        <w:rPr>
          <w:lang w:val="en-AU"/>
        </w:rPr>
        <w:t xml:space="preserve"> </w:t>
      </w:r>
    </w:p>
    <w:bookmarkEnd w:id="0"/>
    <w:p w14:paraId="77974896" w14:textId="3CDEB119" w:rsidR="000A7BCF" w:rsidRDefault="000A7BCF" w:rsidP="000A7BCF">
      <w:pPr>
        <w:rPr>
          <w:lang w:val="en-AU"/>
        </w:rPr>
      </w:pPr>
      <w:r>
        <w:rPr>
          <w:lang w:val="en-AU"/>
        </w:rPr>
        <w:t xml:space="preserve">The following amendment instructions (at the time of drafting) relate to the Code, version </w:t>
      </w:r>
      <w:r w:rsidR="00B60686" w:rsidRPr="009B495D">
        <w:rPr>
          <w:highlight w:val="yellow"/>
          <w:lang w:val="en-AU"/>
        </w:rPr>
        <w:t>2</w:t>
      </w:r>
      <w:r w:rsidR="00964526" w:rsidRPr="009B495D">
        <w:rPr>
          <w:highlight w:val="yellow"/>
          <w:lang w:val="en-AU"/>
        </w:rPr>
        <w:t>022.1</w:t>
      </w:r>
      <w:r w:rsidRPr="009B495D">
        <w:rPr>
          <w:highlight w:val="yellow"/>
          <w:lang w:val="en-AU"/>
        </w:rPr>
        <w:t xml:space="preserve"> published on </w:t>
      </w:r>
      <w:r w:rsidR="00964526" w:rsidRPr="009B495D">
        <w:rPr>
          <w:highlight w:val="yellow"/>
          <w:lang w:val="en-AU"/>
        </w:rPr>
        <w:t>20</w:t>
      </w:r>
      <w:r w:rsidR="00B60686" w:rsidRPr="009B495D">
        <w:rPr>
          <w:highlight w:val="yellow"/>
          <w:lang w:val="en-AU"/>
        </w:rPr>
        <w:t xml:space="preserve"> </w:t>
      </w:r>
      <w:r w:rsidR="00964526" w:rsidRPr="009B495D">
        <w:rPr>
          <w:highlight w:val="yellow"/>
          <w:lang w:val="en-AU"/>
        </w:rPr>
        <w:t>January</w:t>
      </w:r>
      <w:r w:rsidRPr="009B495D">
        <w:rPr>
          <w:highlight w:val="yellow"/>
          <w:lang w:val="en-AU"/>
        </w:rPr>
        <w:t xml:space="preserve"> 202</w:t>
      </w:r>
      <w:r w:rsidR="00964526" w:rsidRPr="009B495D">
        <w:rPr>
          <w:highlight w:val="yellow"/>
          <w:lang w:val="en-AU"/>
        </w:rPr>
        <w:t>2</w:t>
      </w:r>
      <w:r w:rsidR="00964526" w:rsidRPr="00964526">
        <w:rPr>
          <w:lang w:val="en-AU"/>
        </w:rPr>
        <w:t>.</w:t>
      </w:r>
      <w:r>
        <w:rPr>
          <w:lang w:val="en-AU"/>
        </w:rPr>
        <w:t xml:space="preserve"> Where amendments to the Code have been published after this date, </w:t>
      </w:r>
      <w:r w:rsidR="004A6399">
        <w:rPr>
          <w:lang w:val="en-AU"/>
        </w:rPr>
        <w:t>consequential</w:t>
      </w:r>
      <w:r>
        <w:rPr>
          <w:lang w:val="en-AU"/>
        </w:rPr>
        <w:t xml:space="preserve"> changes to the following amendment instructions will be made as necessary to give effect to this Code Amendment.</w:t>
      </w:r>
      <w:r w:rsidR="00A460A8" w:rsidRPr="00A460A8">
        <w:rPr>
          <w:lang w:val="en-AU"/>
        </w:rPr>
        <w:t xml:space="preserve"> </w:t>
      </w:r>
      <w:bookmarkStart w:id="1" w:name="_Hlk142391494"/>
      <w:r w:rsidR="00A460A8" w:rsidRPr="00481D0B">
        <w:rPr>
          <w:lang w:val="en-AU"/>
        </w:rPr>
        <w:t>The Minister specifies under section 73(12)(c) of the Act that this Code Amendment will take effect on the day that it is deployed into both the electronic Planning and Design Code and the South Australian Property and Planning Atlas.</w:t>
      </w:r>
      <w:r w:rsidR="00A460A8">
        <w:rPr>
          <w:lang w:val="en-AU"/>
        </w:rPr>
        <w:t xml:space="preserve">  </w:t>
      </w:r>
      <w:bookmarkEnd w:id="1"/>
    </w:p>
    <w:p w14:paraId="01C8A206" w14:textId="77777777" w:rsidR="000A7BCF" w:rsidRPr="001A0DCD" w:rsidRDefault="000A7BCF" w:rsidP="000A7BCF">
      <w:pPr>
        <w:rPr>
          <w:b/>
          <w:lang w:val="en-AU"/>
        </w:rPr>
      </w:pPr>
      <w:r w:rsidRPr="001A0DCD">
        <w:rPr>
          <w:b/>
          <w:lang w:val="en-AU"/>
        </w:rPr>
        <w:t>Instructions</w:t>
      </w:r>
    </w:p>
    <w:p w14:paraId="08FC79A7" w14:textId="77777777" w:rsidR="000A7BCF" w:rsidRDefault="000A7BCF" w:rsidP="000A7BCF">
      <w:pPr>
        <w:rPr>
          <w:lang w:val="en-AU"/>
        </w:rPr>
      </w:pPr>
      <w:r>
        <w:rPr>
          <w:lang w:val="en-AU"/>
        </w:rPr>
        <w:t>Amend the Code as follows:</w:t>
      </w:r>
    </w:p>
    <w:p w14:paraId="27093C06" w14:textId="28507864" w:rsidR="009B495D" w:rsidRPr="009B495D" w:rsidRDefault="009B495D" w:rsidP="000A7BCF">
      <w:pPr>
        <w:rPr>
          <w:color w:val="808080" w:themeColor="background1" w:themeShade="80"/>
          <w:lang w:val="en-AU"/>
        </w:rPr>
      </w:pPr>
      <w:r w:rsidRPr="009B495D">
        <w:rPr>
          <w:color w:val="808080" w:themeColor="background1" w:themeShade="80"/>
          <w:lang w:val="en-AU"/>
        </w:rPr>
        <w:t>EXAMPLE:</w:t>
      </w:r>
    </w:p>
    <w:p w14:paraId="58D3BB5C" w14:textId="2E7EC826" w:rsidR="00451054" w:rsidRPr="009B495D" w:rsidRDefault="000A7BCF" w:rsidP="008D13D1">
      <w:pPr>
        <w:pStyle w:val="ListParagraph"/>
        <w:numPr>
          <w:ilvl w:val="0"/>
          <w:numId w:val="1"/>
        </w:numPr>
        <w:spacing w:before="120"/>
        <w:ind w:left="426" w:hanging="426"/>
        <w:contextualSpacing w:val="0"/>
        <w:rPr>
          <w:color w:val="808080" w:themeColor="background1" w:themeShade="80"/>
        </w:rPr>
      </w:pPr>
      <w:r w:rsidRPr="009B495D">
        <w:rPr>
          <w:color w:val="808080" w:themeColor="background1" w:themeShade="80"/>
        </w:rPr>
        <w:t xml:space="preserve">Spatially apply the </w:t>
      </w:r>
      <w:r w:rsidR="008D13D1" w:rsidRPr="009B495D">
        <w:rPr>
          <w:color w:val="808080" w:themeColor="background1" w:themeShade="80"/>
        </w:rPr>
        <w:t>Urban Corridor (</w:t>
      </w:r>
      <w:r w:rsidR="009B495D">
        <w:rPr>
          <w:color w:val="808080" w:themeColor="background1" w:themeShade="80"/>
        </w:rPr>
        <w:t>Boulevard</w:t>
      </w:r>
      <w:r w:rsidR="008D13D1" w:rsidRPr="009B495D">
        <w:rPr>
          <w:color w:val="808080" w:themeColor="background1" w:themeShade="80"/>
        </w:rPr>
        <w:t>)</w:t>
      </w:r>
      <w:r w:rsidR="004B3CA4" w:rsidRPr="009B495D">
        <w:rPr>
          <w:color w:val="808080" w:themeColor="background1" w:themeShade="80"/>
        </w:rPr>
        <w:t xml:space="preserve"> Zone</w:t>
      </w:r>
      <w:r w:rsidRPr="009B495D">
        <w:rPr>
          <w:color w:val="808080" w:themeColor="background1" w:themeShade="80"/>
        </w:rPr>
        <w:t xml:space="preserve"> (in place of the current </w:t>
      </w:r>
      <w:r w:rsidR="00EE0E0B" w:rsidRPr="009B495D">
        <w:rPr>
          <w:rFonts w:ascii="ArialMT" w:hAnsi="ArialMT" w:cs="ArialMT"/>
          <w:color w:val="808080" w:themeColor="background1" w:themeShade="80"/>
        </w:rPr>
        <w:t xml:space="preserve">Established </w:t>
      </w:r>
      <w:r w:rsidR="00EE0E0B" w:rsidRPr="009B495D">
        <w:rPr>
          <w:rFonts w:cstheme="minorBidi"/>
          <w:color w:val="808080" w:themeColor="background1" w:themeShade="80"/>
          <w:szCs w:val="24"/>
          <w:lang w:val="en-GB"/>
        </w:rPr>
        <w:t>Neighbourhood</w:t>
      </w:r>
      <w:r w:rsidR="00EE0E0B" w:rsidRPr="009B495D">
        <w:rPr>
          <w:rFonts w:ascii="ArialMT" w:hAnsi="ArialMT" w:cs="ArialMT"/>
          <w:color w:val="808080" w:themeColor="background1" w:themeShade="80"/>
        </w:rPr>
        <w:t xml:space="preserve"> </w:t>
      </w:r>
      <w:r w:rsidR="004B3CA4" w:rsidRPr="009B495D">
        <w:rPr>
          <w:color w:val="808080" w:themeColor="background1" w:themeShade="80"/>
        </w:rPr>
        <w:t>Zone</w:t>
      </w:r>
      <w:r w:rsidRPr="009B495D">
        <w:rPr>
          <w:color w:val="808080" w:themeColor="background1" w:themeShade="80"/>
        </w:rPr>
        <w:t xml:space="preserve">) to the </w:t>
      </w:r>
      <w:r w:rsidR="00451054" w:rsidRPr="009B495D">
        <w:rPr>
          <w:color w:val="808080" w:themeColor="background1" w:themeShade="80"/>
        </w:rPr>
        <w:t xml:space="preserve">‘area </w:t>
      </w:r>
      <w:r w:rsidRPr="009B495D">
        <w:rPr>
          <w:color w:val="808080" w:themeColor="background1" w:themeShade="80"/>
        </w:rPr>
        <w:t>affected</w:t>
      </w:r>
      <w:r w:rsidR="00451054" w:rsidRPr="009B495D">
        <w:rPr>
          <w:color w:val="808080" w:themeColor="background1" w:themeShade="80"/>
        </w:rPr>
        <w:t xml:space="preserve">’ bounded by the blue line in </w:t>
      </w:r>
      <w:r w:rsidRPr="009B495D">
        <w:rPr>
          <w:color w:val="808080" w:themeColor="background1" w:themeShade="80"/>
        </w:rPr>
        <w:t>Map A contained in Attachment A</w:t>
      </w:r>
      <w:r w:rsidR="00451054" w:rsidRPr="009B495D">
        <w:rPr>
          <w:color w:val="808080" w:themeColor="background1" w:themeShade="80"/>
        </w:rPr>
        <w:t>.</w:t>
      </w:r>
    </w:p>
    <w:p w14:paraId="7C39EA62" w14:textId="6501B1D3" w:rsidR="00451054" w:rsidRPr="009B495D" w:rsidRDefault="006B4587" w:rsidP="00621A4F">
      <w:pPr>
        <w:pStyle w:val="ListParagraph"/>
        <w:numPr>
          <w:ilvl w:val="0"/>
          <w:numId w:val="1"/>
        </w:numPr>
        <w:tabs>
          <w:tab w:val="clear" w:pos="425"/>
          <w:tab w:val="left" w:pos="426"/>
        </w:tabs>
        <w:spacing w:before="120"/>
        <w:ind w:left="426" w:hanging="426"/>
        <w:contextualSpacing w:val="0"/>
        <w:rPr>
          <w:color w:val="808080" w:themeColor="background1" w:themeShade="80"/>
        </w:rPr>
      </w:pPr>
      <w:r w:rsidRPr="009B495D">
        <w:rPr>
          <w:color w:val="808080" w:themeColor="background1" w:themeShade="80"/>
        </w:rPr>
        <w:t xml:space="preserve">Spatially apply the </w:t>
      </w:r>
      <w:r w:rsidR="008D13D1" w:rsidRPr="009B495D">
        <w:rPr>
          <w:color w:val="808080" w:themeColor="background1" w:themeShade="80"/>
        </w:rPr>
        <w:t xml:space="preserve">following </w:t>
      </w:r>
      <w:r w:rsidR="00E03F8D">
        <w:rPr>
          <w:color w:val="808080" w:themeColor="background1" w:themeShade="80"/>
        </w:rPr>
        <w:t>o</w:t>
      </w:r>
      <w:r w:rsidR="008D13D1" w:rsidRPr="009B495D">
        <w:rPr>
          <w:color w:val="808080" w:themeColor="background1" w:themeShade="80"/>
        </w:rPr>
        <w:t xml:space="preserve">verlays </w:t>
      </w:r>
      <w:r w:rsidR="00451054" w:rsidRPr="009B495D">
        <w:rPr>
          <w:color w:val="808080" w:themeColor="background1" w:themeShade="80"/>
        </w:rPr>
        <w:t xml:space="preserve">to the ‘area affected’ bounded by the blue line in </w:t>
      </w:r>
      <w:r w:rsidR="008D13D1" w:rsidRPr="009B495D">
        <w:rPr>
          <w:color w:val="808080" w:themeColor="background1" w:themeShade="80"/>
        </w:rPr>
        <w:t>Map A contained in Attachment A:</w:t>
      </w:r>
    </w:p>
    <w:p w14:paraId="54E1BB9E" w14:textId="0D0FE56A" w:rsidR="008D13D1" w:rsidRPr="009B495D" w:rsidRDefault="008D13D1" w:rsidP="008D13D1">
      <w:pPr>
        <w:pStyle w:val="ListParagraph"/>
        <w:numPr>
          <w:ilvl w:val="0"/>
          <w:numId w:val="4"/>
        </w:numPr>
        <w:tabs>
          <w:tab w:val="clear" w:pos="425"/>
          <w:tab w:val="clear" w:pos="851"/>
        </w:tabs>
        <w:ind w:left="992" w:hanging="357"/>
        <w:contextualSpacing w:val="0"/>
        <w:rPr>
          <w:color w:val="808080" w:themeColor="background1" w:themeShade="80"/>
        </w:rPr>
      </w:pPr>
      <w:r w:rsidRPr="009B495D">
        <w:rPr>
          <w:color w:val="808080" w:themeColor="background1" w:themeShade="80"/>
        </w:rPr>
        <w:t>Affordable Housing Overlay</w:t>
      </w:r>
      <w:r w:rsidR="00E03F8D">
        <w:rPr>
          <w:color w:val="808080" w:themeColor="background1" w:themeShade="80"/>
        </w:rPr>
        <w:t>.</w:t>
      </w:r>
    </w:p>
    <w:p w14:paraId="72E78CB7" w14:textId="35E0CD5A" w:rsidR="008D13D1" w:rsidRPr="009B495D" w:rsidRDefault="008D13D1" w:rsidP="008D13D1">
      <w:pPr>
        <w:pStyle w:val="ListParagraph"/>
        <w:numPr>
          <w:ilvl w:val="0"/>
          <w:numId w:val="4"/>
        </w:numPr>
        <w:tabs>
          <w:tab w:val="clear" w:pos="425"/>
          <w:tab w:val="clear" w:pos="851"/>
        </w:tabs>
        <w:ind w:left="992" w:hanging="357"/>
        <w:contextualSpacing w:val="0"/>
        <w:rPr>
          <w:color w:val="808080" w:themeColor="background1" w:themeShade="80"/>
        </w:rPr>
      </w:pPr>
      <w:r w:rsidRPr="009B495D">
        <w:rPr>
          <w:color w:val="808080" w:themeColor="background1" w:themeShade="80"/>
        </w:rPr>
        <w:t>Design Overlay</w:t>
      </w:r>
      <w:r w:rsidR="00E03F8D">
        <w:rPr>
          <w:color w:val="808080" w:themeColor="background1" w:themeShade="80"/>
        </w:rPr>
        <w:t>.</w:t>
      </w:r>
    </w:p>
    <w:p w14:paraId="380E2D09" w14:textId="4F3D7B84" w:rsidR="008D13D1" w:rsidRPr="009B495D" w:rsidRDefault="008D13D1" w:rsidP="008D13D1">
      <w:pPr>
        <w:pStyle w:val="ListParagraph"/>
        <w:numPr>
          <w:ilvl w:val="0"/>
          <w:numId w:val="4"/>
        </w:numPr>
        <w:tabs>
          <w:tab w:val="clear" w:pos="425"/>
          <w:tab w:val="clear" w:pos="851"/>
        </w:tabs>
        <w:ind w:left="992" w:hanging="357"/>
        <w:contextualSpacing w:val="0"/>
        <w:rPr>
          <w:color w:val="808080" w:themeColor="background1" w:themeShade="80"/>
        </w:rPr>
      </w:pPr>
      <w:r w:rsidRPr="009B495D">
        <w:rPr>
          <w:color w:val="808080" w:themeColor="background1" w:themeShade="80"/>
        </w:rPr>
        <w:t>Noise and Air Emissions Overlay</w:t>
      </w:r>
      <w:r w:rsidR="00557652" w:rsidRPr="009B495D">
        <w:rPr>
          <w:color w:val="808080" w:themeColor="background1" w:themeShade="80"/>
        </w:rPr>
        <w:t>.</w:t>
      </w:r>
    </w:p>
    <w:p w14:paraId="12E2831F" w14:textId="0C32D83B" w:rsidR="008D13D1" w:rsidRPr="009B495D" w:rsidRDefault="008D13D1" w:rsidP="008D13D1">
      <w:pPr>
        <w:pStyle w:val="ListParagraph"/>
        <w:numPr>
          <w:ilvl w:val="0"/>
          <w:numId w:val="1"/>
        </w:numPr>
        <w:tabs>
          <w:tab w:val="clear" w:pos="425"/>
          <w:tab w:val="left" w:pos="426"/>
        </w:tabs>
        <w:spacing w:before="120"/>
        <w:ind w:left="426" w:hanging="426"/>
        <w:contextualSpacing w:val="0"/>
        <w:rPr>
          <w:color w:val="808080" w:themeColor="background1" w:themeShade="80"/>
        </w:rPr>
      </w:pPr>
      <w:r w:rsidRPr="009B495D">
        <w:rPr>
          <w:color w:val="808080" w:themeColor="background1" w:themeShade="80"/>
        </w:rPr>
        <w:t xml:space="preserve">Spatially remove the following </w:t>
      </w:r>
      <w:r w:rsidR="00E03F8D">
        <w:rPr>
          <w:color w:val="808080" w:themeColor="background1" w:themeShade="80"/>
        </w:rPr>
        <w:t>o</w:t>
      </w:r>
      <w:r w:rsidRPr="009B495D">
        <w:rPr>
          <w:color w:val="808080" w:themeColor="background1" w:themeShade="80"/>
        </w:rPr>
        <w:t xml:space="preserve">verlays </w:t>
      </w:r>
      <w:r w:rsidR="005E7B10" w:rsidRPr="009B495D">
        <w:rPr>
          <w:color w:val="808080" w:themeColor="background1" w:themeShade="80"/>
        </w:rPr>
        <w:t>from</w:t>
      </w:r>
      <w:r w:rsidRPr="009B495D">
        <w:rPr>
          <w:color w:val="808080" w:themeColor="background1" w:themeShade="80"/>
        </w:rPr>
        <w:t xml:space="preserve"> the ‘area affected’ bounded by the blue line in Map A contained in Attachment A:</w:t>
      </w:r>
    </w:p>
    <w:p w14:paraId="4F0797FA" w14:textId="7F2660F9" w:rsidR="005E7B10" w:rsidRPr="009B495D" w:rsidRDefault="005E7B10" w:rsidP="005E7B10">
      <w:pPr>
        <w:pStyle w:val="ListParagraph"/>
        <w:numPr>
          <w:ilvl w:val="1"/>
          <w:numId w:val="1"/>
        </w:numPr>
        <w:spacing w:before="120" w:after="0" w:line="240" w:lineRule="exact"/>
        <w:ind w:right="-6"/>
        <w:contextualSpacing w:val="0"/>
        <w:jc w:val="both"/>
        <w:rPr>
          <w:rFonts w:cs="Arial"/>
          <w:color w:val="808080" w:themeColor="background1" w:themeShade="80"/>
          <w:szCs w:val="24"/>
        </w:rPr>
      </w:pPr>
      <w:r w:rsidRPr="009B495D">
        <w:rPr>
          <w:rFonts w:cs="Arial"/>
          <w:color w:val="808080" w:themeColor="background1" w:themeShade="80"/>
          <w:szCs w:val="24"/>
        </w:rPr>
        <w:t>Stormwater Management Overlay</w:t>
      </w:r>
      <w:r w:rsidR="00E03F8D">
        <w:rPr>
          <w:rFonts w:cs="Arial"/>
          <w:color w:val="808080" w:themeColor="background1" w:themeShade="80"/>
          <w:szCs w:val="24"/>
        </w:rPr>
        <w:t>.</w:t>
      </w:r>
    </w:p>
    <w:p w14:paraId="715E3FD0" w14:textId="77777777" w:rsidR="005E7B10" w:rsidRPr="009B495D" w:rsidRDefault="005E7B10" w:rsidP="005E7B10">
      <w:pPr>
        <w:pStyle w:val="ListParagraph"/>
        <w:numPr>
          <w:ilvl w:val="1"/>
          <w:numId w:val="1"/>
        </w:numPr>
        <w:spacing w:before="120" w:after="0" w:line="240" w:lineRule="exact"/>
        <w:ind w:right="-6"/>
        <w:contextualSpacing w:val="0"/>
        <w:jc w:val="both"/>
        <w:rPr>
          <w:rFonts w:cs="Arial"/>
          <w:color w:val="808080" w:themeColor="background1" w:themeShade="80"/>
          <w:szCs w:val="24"/>
        </w:rPr>
      </w:pPr>
      <w:r w:rsidRPr="009B495D">
        <w:rPr>
          <w:rFonts w:cs="Arial"/>
          <w:color w:val="808080" w:themeColor="background1" w:themeShade="80"/>
          <w:szCs w:val="24"/>
        </w:rPr>
        <w:t>Urban Tree Canopy Overlay.</w:t>
      </w:r>
    </w:p>
    <w:p w14:paraId="47C30147" w14:textId="1371DAAE" w:rsidR="007D42A3" w:rsidRPr="009B495D" w:rsidRDefault="009F5B38" w:rsidP="007D42A3">
      <w:pPr>
        <w:pStyle w:val="ListParagraph"/>
        <w:numPr>
          <w:ilvl w:val="0"/>
          <w:numId w:val="1"/>
        </w:numPr>
        <w:tabs>
          <w:tab w:val="clear" w:pos="425"/>
          <w:tab w:val="left" w:pos="426"/>
        </w:tabs>
        <w:spacing w:before="120"/>
        <w:ind w:left="426" w:hanging="426"/>
        <w:contextualSpacing w:val="0"/>
        <w:rPr>
          <w:color w:val="808080" w:themeColor="background1" w:themeShade="80"/>
        </w:rPr>
      </w:pPr>
      <w:r w:rsidRPr="009B495D">
        <w:rPr>
          <w:color w:val="808080" w:themeColor="background1" w:themeShade="80"/>
        </w:rPr>
        <w:lastRenderedPageBreak/>
        <w:t>Spatially apply</w:t>
      </w:r>
      <w:r w:rsidR="006B4587" w:rsidRPr="009B495D">
        <w:rPr>
          <w:color w:val="808080" w:themeColor="background1" w:themeShade="80"/>
        </w:rPr>
        <w:t xml:space="preserve"> </w:t>
      </w:r>
      <w:r w:rsidR="005F0C43" w:rsidRPr="009B495D">
        <w:rPr>
          <w:color w:val="808080" w:themeColor="background1" w:themeShade="80"/>
        </w:rPr>
        <w:t xml:space="preserve">the </w:t>
      </w:r>
      <w:r w:rsidR="00DC30F9" w:rsidRPr="009B495D">
        <w:rPr>
          <w:color w:val="808080" w:themeColor="background1" w:themeShade="80"/>
        </w:rPr>
        <w:t xml:space="preserve">following </w:t>
      </w:r>
      <w:r w:rsidR="006B4587" w:rsidRPr="009B495D">
        <w:rPr>
          <w:color w:val="808080" w:themeColor="background1" w:themeShade="80"/>
        </w:rPr>
        <w:t>T</w:t>
      </w:r>
      <w:r w:rsidR="007D42A3" w:rsidRPr="009B495D">
        <w:rPr>
          <w:color w:val="808080" w:themeColor="background1" w:themeShade="80"/>
        </w:rPr>
        <w:t>ech</w:t>
      </w:r>
      <w:r w:rsidR="00BE216E" w:rsidRPr="009B495D">
        <w:rPr>
          <w:color w:val="808080" w:themeColor="background1" w:themeShade="80"/>
        </w:rPr>
        <w:t>ni</w:t>
      </w:r>
      <w:r w:rsidR="007D42A3" w:rsidRPr="009B495D">
        <w:rPr>
          <w:color w:val="808080" w:themeColor="background1" w:themeShade="80"/>
        </w:rPr>
        <w:t>cal and Numeric Variation</w:t>
      </w:r>
      <w:r w:rsidR="00DC30F9" w:rsidRPr="009B495D">
        <w:rPr>
          <w:color w:val="808080" w:themeColor="background1" w:themeShade="80"/>
        </w:rPr>
        <w:t>s</w:t>
      </w:r>
      <w:r w:rsidR="007D42A3" w:rsidRPr="009B495D">
        <w:rPr>
          <w:color w:val="808080" w:themeColor="background1" w:themeShade="80"/>
        </w:rPr>
        <w:t xml:space="preserve"> (TN</w:t>
      </w:r>
      <w:r w:rsidR="006B4587" w:rsidRPr="009B495D">
        <w:rPr>
          <w:color w:val="808080" w:themeColor="background1" w:themeShade="80"/>
        </w:rPr>
        <w:t>V</w:t>
      </w:r>
      <w:r w:rsidR="00DC30F9" w:rsidRPr="009B495D">
        <w:rPr>
          <w:color w:val="808080" w:themeColor="background1" w:themeShade="80"/>
        </w:rPr>
        <w:t xml:space="preserve">s) </w:t>
      </w:r>
      <w:r w:rsidR="007D42A3" w:rsidRPr="009B495D">
        <w:rPr>
          <w:color w:val="808080" w:themeColor="background1" w:themeShade="80"/>
        </w:rPr>
        <w:t>to the ‘area affected’ bounded by the blue line in Map A contained in Attachment A:</w:t>
      </w:r>
    </w:p>
    <w:p w14:paraId="1F14DE3B" w14:textId="015CF9CA" w:rsidR="0083396D" w:rsidRPr="009B495D" w:rsidRDefault="0083396D" w:rsidP="0083396D">
      <w:pPr>
        <w:pStyle w:val="ListParagraph"/>
        <w:numPr>
          <w:ilvl w:val="0"/>
          <w:numId w:val="8"/>
        </w:numPr>
        <w:tabs>
          <w:tab w:val="clear" w:pos="425"/>
          <w:tab w:val="clear" w:pos="851"/>
        </w:tabs>
        <w:ind w:left="992" w:hanging="357"/>
        <w:contextualSpacing w:val="0"/>
        <w:rPr>
          <w:rFonts w:cs="Arial"/>
          <w:color w:val="808080" w:themeColor="background1" w:themeShade="80"/>
          <w:szCs w:val="24"/>
        </w:rPr>
      </w:pPr>
      <w:r w:rsidRPr="009B495D">
        <w:rPr>
          <w:color w:val="808080" w:themeColor="background1" w:themeShade="80"/>
        </w:rPr>
        <w:t xml:space="preserve">Maximum Building Height (Levels) TNV – Maximum </w:t>
      </w:r>
      <w:r w:rsidR="00E22AFF" w:rsidRPr="009B495D">
        <w:rPr>
          <w:color w:val="808080" w:themeColor="background1" w:themeShade="80"/>
        </w:rPr>
        <w:t>building h</w:t>
      </w:r>
      <w:r w:rsidRPr="009B495D">
        <w:rPr>
          <w:color w:val="808080" w:themeColor="background1" w:themeShade="80"/>
        </w:rPr>
        <w:t>eight is 5 levels</w:t>
      </w:r>
      <w:r w:rsidR="00E03F8D">
        <w:rPr>
          <w:color w:val="808080" w:themeColor="background1" w:themeShade="80"/>
        </w:rPr>
        <w:t>.</w:t>
      </w:r>
    </w:p>
    <w:p w14:paraId="18AFAAD3" w14:textId="3472F385" w:rsidR="0083396D" w:rsidRPr="009B495D" w:rsidRDefault="0083396D" w:rsidP="0083396D">
      <w:pPr>
        <w:pStyle w:val="ListParagraph"/>
        <w:numPr>
          <w:ilvl w:val="0"/>
          <w:numId w:val="8"/>
        </w:numPr>
        <w:tabs>
          <w:tab w:val="clear" w:pos="425"/>
          <w:tab w:val="clear" w:pos="851"/>
        </w:tabs>
        <w:ind w:left="992" w:hanging="357"/>
        <w:contextualSpacing w:val="0"/>
        <w:rPr>
          <w:rFonts w:cs="Arial"/>
          <w:color w:val="808080" w:themeColor="background1" w:themeShade="80"/>
          <w:szCs w:val="24"/>
        </w:rPr>
      </w:pPr>
      <w:r w:rsidRPr="009B495D">
        <w:rPr>
          <w:color w:val="808080" w:themeColor="background1" w:themeShade="80"/>
        </w:rPr>
        <w:t>Minimum</w:t>
      </w:r>
      <w:r w:rsidRPr="009B495D">
        <w:rPr>
          <w:rFonts w:cs="Arial"/>
          <w:color w:val="808080" w:themeColor="background1" w:themeShade="80"/>
          <w:szCs w:val="24"/>
        </w:rPr>
        <w:t xml:space="preserve"> Primary Street Setback TNV – Minimum </w:t>
      </w:r>
      <w:r w:rsidR="00E22AFF" w:rsidRPr="009B495D">
        <w:rPr>
          <w:rFonts w:cs="Arial"/>
          <w:color w:val="808080" w:themeColor="background1" w:themeShade="80"/>
          <w:szCs w:val="24"/>
        </w:rPr>
        <w:t>primary s</w:t>
      </w:r>
      <w:r w:rsidRPr="009B495D">
        <w:rPr>
          <w:rFonts w:cs="Arial"/>
          <w:color w:val="808080" w:themeColor="background1" w:themeShade="80"/>
          <w:szCs w:val="24"/>
        </w:rPr>
        <w:t>tree</w:t>
      </w:r>
      <w:r w:rsidR="00E22AFF" w:rsidRPr="009B495D">
        <w:rPr>
          <w:rFonts w:cs="Arial"/>
          <w:color w:val="808080" w:themeColor="background1" w:themeShade="80"/>
          <w:szCs w:val="24"/>
        </w:rPr>
        <w:t xml:space="preserve">t </w:t>
      </w:r>
      <w:r w:rsidR="00E22AFF" w:rsidRPr="009B495D">
        <w:rPr>
          <w:rFonts w:cs="Arial"/>
          <w:noProof w:val="0"/>
          <w:color w:val="808080" w:themeColor="background1" w:themeShade="80"/>
          <w:szCs w:val="24"/>
        </w:rPr>
        <w:t>s</w:t>
      </w:r>
      <w:r w:rsidRPr="009B495D">
        <w:rPr>
          <w:rFonts w:cs="Arial"/>
          <w:noProof w:val="0"/>
          <w:color w:val="808080" w:themeColor="background1" w:themeShade="80"/>
          <w:szCs w:val="24"/>
        </w:rPr>
        <w:t>etback</w:t>
      </w:r>
      <w:r w:rsidRPr="009B495D">
        <w:rPr>
          <w:rFonts w:cs="Arial"/>
          <w:color w:val="808080" w:themeColor="background1" w:themeShade="80"/>
          <w:szCs w:val="24"/>
        </w:rPr>
        <w:t xml:space="preserve"> is 0 metres</w:t>
      </w:r>
      <w:r w:rsidR="00E03F8D">
        <w:rPr>
          <w:rFonts w:cs="Arial"/>
          <w:color w:val="808080" w:themeColor="background1" w:themeShade="80"/>
          <w:szCs w:val="24"/>
        </w:rPr>
        <w:t>.</w:t>
      </w:r>
    </w:p>
    <w:p w14:paraId="26391A93" w14:textId="42299012" w:rsidR="0083396D" w:rsidRPr="009B495D" w:rsidRDefault="0083396D" w:rsidP="0083396D">
      <w:pPr>
        <w:pStyle w:val="ListParagraph"/>
        <w:numPr>
          <w:ilvl w:val="0"/>
          <w:numId w:val="8"/>
        </w:numPr>
        <w:tabs>
          <w:tab w:val="clear" w:pos="425"/>
          <w:tab w:val="clear" w:pos="851"/>
        </w:tabs>
        <w:ind w:left="992" w:hanging="357"/>
        <w:contextualSpacing w:val="0"/>
        <w:rPr>
          <w:rFonts w:cs="Arial"/>
          <w:color w:val="808080" w:themeColor="background1" w:themeShade="80"/>
          <w:szCs w:val="24"/>
        </w:rPr>
      </w:pPr>
      <w:r w:rsidRPr="009B495D">
        <w:rPr>
          <w:color w:val="808080" w:themeColor="background1" w:themeShade="80"/>
        </w:rPr>
        <w:t>Interface Height TNV</w:t>
      </w:r>
      <w:r w:rsidR="00557652" w:rsidRPr="009B495D">
        <w:rPr>
          <w:rFonts w:cs="Arial"/>
          <w:color w:val="808080" w:themeColor="background1" w:themeShade="80"/>
          <w:szCs w:val="24"/>
        </w:rPr>
        <w:t xml:space="preserve"> – </w:t>
      </w:r>
      <w:r w:rsidRPr="009B495D">
        <w:rPr>
          <w:rFonts w:cs="Arial"/>
          <w:color w:val="808080" w:themeColor="background1" w:themeShade="80"/>
          <w:szCs w:val="24"/>
        </w:rPr>
        <w:t>Development should be constructed within a building envelope provided by a 30 or 45 degree plane, depending on orientation, measured 3</w:t>
      </w:r>
      <w:r w:rsidR="00465295">
        <w:rPr>
          <w:rFonts w:cs="Arial"/>
          <w:color w:val="808080" w:themeColor="background1" w:themeShade="80"/>
          <w:szCs w:val="24"/>
        </w:rPr>
        <w:t xml:space="preserve"> </w:t>
      </w:r>
      <w:r w:rsidRPr="009B495D">
        <w:rPr>
          <w:rFonts w:cs="Arial"/>
          <w:color w:val="808080" w:themeColor="background1" w:themeShade="80"/>
          <w:szCs w:val="24"/>
        </w:rPr>
        <w:t>m</w:t>
      </w:r>
      <w:r w:rsidR="00465295">
        <w:rPr>
          <w:rFonts w:cs="Arial"/>
          <w:color w:val="808080" w:themeColor="background1" w:themeShade="80"/>
          <w:szCs w:val="24"/>
        </w:rPr>
        <w:t>etres</w:t>
      </w:r>
      <w:r w:rsidRPr="009B495D">
        <w:rPr>
          <w:rFonts w:cs="Arial"/>
          <w:color w:val="808080" w:themeColor="background1" w:themeShade="80"/>
          <w:szCs w:val="24"/>
        </w:rPr>
        <w:t xml:space="preserve"> above natural ground at the boundary of an allotment.</w:t>
      </w:r>
    </w:p>
    <w:p w14:paraId="77BD3C89" w14:textId="5AF82319" w:rsidR="00C70485" w:rsidRPr="009B495D" w:rsidRDefault="00C70485" w:rsidP="00C70485">
      <w:pPr>
        <w:pStyle w:val="ListParagraph"/>
        <w:numPr>
          <w:ilvl w:val="0"/>
          <w:numId w:val="1"/>
        </w:numPr>
        <w:tabs>
          <w:tab w:val="clear" w:pos="425"/>
          <w:tab w:val="left" w:pos="426"/>
        </w:tabs>
        <w:spacing w:before="120"/>
        <w:ind w:left="426" w:hanging="426"/>
        <w:contextualSpacing w:val="0"/>
        <w:rPr>
          <w:color w:val="808080" w:themeColor="background1" w:themeShade="80"/>
        </w:rPr>
      </w:pPr>
      <w:r w:rsidRPr="009B495D">
        <w:rPr>
          <w:color w:val="808080" w:themeColor="background1" w:themeShade="80"/>
        </w:rPr>
        <w:t xml:space="preserve">Spatially </w:t>
      </w:r>
      <w:r w:rsidR="008149B9" w:rsidRPr="009B495D">
        <w:rPr>
          <w:color w:val="808080" w:themeColor="background1" w:themeShade="80"/>
        </w:rPr>
        <w:t>remove</w:t>
      </w:r>
      <w:r w:rsidRPr="009B495D">
        <w:rPr>
          <w:color w:val="808080" w:themeColor="background1" w:themeShade="80"/>
        </w:rPr>
        <w:t xml:space="preserve"> the </w:t>
      </w:r>
      <w:r w:rsidR="00D63319" w:rsidRPr="009B495D">
        <w:rPr>
          <w:color w:val="808080" w:themeColor="background1" w:themeShade="80"/>
        </w:rPr>
        <w:t>following</w:t>
      </w:r>
      <w:r w:rsidRPr="009B495D">
        <w:rPr>
          <w:color w:val="808080" w:themeColor="background1" w:themeShade="80"/>
        </w:rPr>
        <w:t xml:space="preserve"> Tech</w:t>
      </w:r>
      <w:r w:rsidR="00BE216E" w:rsidRPr="009B495D">
        <w:rPr>
          <w:color w:val="808080" w:themeColor="background1" w:themeShade="80"/>
        </w:rPr>
        <w:t>ni</w:t>
      </w:r>
      <w:r w:rsidRPr="009B495D">
        <w:rPr>
          <w:color w:val="808080" w:themeColor="background1" w:themeShade="80"/>
        </w:rPr>
        <w:t>cal and Numeric Variation</w:t>
      </w:r>
      <w:r w:rsidR="00D63319" w:rsidRPr="009B495D">
        <w:rPr>
          <w:color w:val="808080" w:themeColor="background1" w:themeShade="80"/>
        </w:rPr>
        <w:t>s</w:t>
      </w:r>
      <w:r w:rsidRPr="009B495D">
        <w:rPr>
          <w:color w:val="808080" w:themeColor="background1" w:themeShade="80"/>
        </w:rPr>
        <w:t xml:space="preserve"> (TNV</w:t>
      </w:r>
      <w:r w:rsidR="00D63319" w:rsidRPr="009B495D">
        <w:rPr>
          <w:color w:val="808080" w:themeColor="background1" w:themeShade="80"/>
        </w:rPr>
        <w:t>s</w:t>
      </w:r>
      <w:r w:rsidR="008149B9" w:rsidRPr="009B495D">
        <w:rPr>
          <w:color w:val="808080" w:themeColor="background1" w:themeShade="80"/>
        </w:rPr>
        <w:t>) from where they currently apply</w:t>
      </w:r>
      <w:r w:rsidRPr="009B495D">
        <w:rPr>
          <w:color w:val="808080" w:themeColor="background1" w:themeShade="80"/>
        </w:rPr>
        <w:t xml:space="preserve"> </w:t>
      </w:r>
      <w:r w:rsidR="00557652" w:rsidRPr="009B495D">
        <w:rPr>
          <w:color w:val="808080" w:themeColor="background1" w:themeShade="80"/>
        </w:rPr>
        <w:t xml:space="preserve">in </w:t>
      </w:r>
      <w:r w:rsidRPr="009B495D">
        <w:rPr>
          <w:color w:val="808080" w:themeColor="background1" w:themeShade="80"/>
        </w:rPr>
        <w:t xml:space="preserve">the ‘area affected’ bounded by the blue line in Map </w:t>
      </w:r>
      <w:r w:rsidR="008149B9" w:rsidRPr="009B495D">
        <w:rPr>
          <w:color w:val="808080" w:themeColor="background1" w:themeShade="80"/>
        </w:rPr>
        <w:t>A</w:t>
      </w:r>
      <w:r w:rsidRPr="009B495D">
        <w:rPr>
          <w:color w:val="808080" w:themeColor="background1" w:themeShade="80"/>
        </w:rPr>
        <w:t xml:space="preserve"> contained in Attachment </w:t>
      </w:r>
      <w:r w:rsidR="008149B9" w:rsidRPr="009B495D">
        <w:rPr>
          <w:color w:val="808080" w:themeColor="background1" w:themeShade="80"/>
        </w:rPr>
        <w:t>A</w:t>
      </w:r>
      <w:r w:rsidRPr="009B495D">
        <w:rPr>
          <w:color w:val="808080" w:themeColor="background1" w:themeShade="80"/>
        </w:rPr>
        <w:t>:</w:t>
      </w:r>
    </w:p>
    <w:p w14:paraId="31C84A62" w14:textId="19E99C55" w:rsidR="008149B9" w:rsidRPr="009B495D" w:rsidRDefault="008149B9" w:rsidP="008149B9">
      <w:pPr>
        <w:pStyle w:val="ListParagraph"/>
        <w:numPr>
          <w:ilvl w:val="0"/>
          <w:numId w:val="6"/>
        </w:numPr>
        <w:tabs>
          <w:tab w:val="clear" w:pos="425"/>
          <w:tab w:val="clear" w:pos="851"/>
        </w:tabs>
        <w:ind w:left="993"/>
        <w:contextualSpacing w:val="0"/>
        <w:rPr>
          <w:rFonts w:cs="Arial"/>
          <w:color w:val="808080" w:themeColor="background1" w:themeShade="80"/>
          <w:szCs w:val="24"/>
        </w:rPr>
      </w:pPr>
      <w:r w:rsidRPr="009B495D">
        <w:rPr>
          <w:rFonts w:cs="Arial"/>
          <w:color w:val="808080" w:themeColor="background1" w:themeShade="80"/>
          <w:szCs w:val="24"/>
        </w:rPr>
        <w:t xml:space="preserve">Maximum Building Height (Levels) TNV – Maximum </w:t>
      </w:r>
      <w:r w:rsidR="00E22AFF" w:rsidRPr="009B495D">
        <w:rPr>
          <w:rFonts w:cs="Arial"/>
          <w:color w:val="808080" w:themeColor="background1" w:themeShade="80"/>
          <w:szCs w:val="24"/>
        </w:rPr>
        <w:t>b</w:t>
      </w:r>
      <w:r w:rsidRPr="009B495D">
        <w:rPr>
          <w:rFonts w:cs="Arial"/>
          <w:color w:val="808080" w:themeColor="background1" w:themeShade="80"/>
          <w:szCs w:val="24"/>
        </w:rPr>
        <w:t xml:space="preserve">uilding </w:t>
      </w:r>
      <w:r w:rsidR="00E22AFF" w:rsidRPr="009B495D">
        <w:rPr>
          <w:rFonts w:cs="Arial"/>
          <w:color w:val="808080" w:themeColor="background1" w:themeShade="80"/>
          <w:szCs w:val="24"/>
        </w:rPr>
        <w:t>l</w:t>
      </w:r>
      <w:r w:rsidRPr="009B495D">
        <w:rPr>
          <w:rFonts w:cs="Arial"/>
          <w:color w:val="808080" w:themeColor="background1" w:themeShade="80"/>
          <w:szCs w:val="24"/>
        </w:rPr>
        <w:t>evels is</w:t>
      </w:r>
      <w:r w:rsidR="009B495D" w:rsidRPr="009B495D">
        <w:rPr>
          <w:rFonts w:cs="Arial"/>
          <w:color w:val="808080" w:themeColor="background1" w:themeShade="80"/>
          <w:szCs w:val="24"/>
        </w:rPr>
        <w:t xml:space="preserve"> 1</w:t>
      </w:r>
      <w:r w:rsidR="00E22AFF" w:rsidRPr="009B495D">
        <w:rPr>
          <w:rFonts w:cs="Arial"/>
          <w:color w:val="808080" w:themeColor="background1" w:themeShade="80"/>
          <w:szCs w:val="24"/>
        </w:rPr>
        <w:t xml:space="preserve"> levels</w:t>
      </w:r>
      <w:r w:rsidR="00465295">
        <w:rPr>
          <w:rFonts w:cs="Arial"/>
          <w:color w:val="808080" w:themeColor="background1" w:themeShade="80"/>
          <w:szCs w:val="24"/>
        </w:rPr>
        <w:t>.</w:t>
      </w:r>
    </w:p>
    <w:p w14:paraId="6BDA59C1" w14:textId="2E270CB8" w:rsidR="008149B9" w:rsidRPr="009B495D" w:rsidRDefault="008149B9" w:rsidP="008149B9">
      <w:pPr>
        <w:pStyle w:val="ListParagraph"/>
        <w:numPr>
          <w:ilvl w:val="0"/>
          <w:numId w:val="6"/>
        </w:numPr>
        <w:tabs>
          <w:tab w:val="clear" w:pos="425"/>
          <w:tab w:val="clear" w:pos="851"/>
        </w:tabs>
        <w:ind w:left="993"/>
        <w:contextualSpacing w:val="0"/>
        <w:rPr>
          <w:rFonts w:cs="Arial"/>
          <w:color w:val="808080" w:themeColor="background1" w:themeShade="80"/>
          <w:szCs w:val="24"/>
        </w:rPr>
      </w:pPr>
      <w:r w:rsidRPr="009B495D">
        <w:rPr>
          <w:rFonts w:cs="Arial"/>
          <w:color w:val="808080" w:themeColor="background1" w:themeShade="80"/>
          <w:szCs w:val="24"/>
        </w:rPr>
        <w:t xml:space="preserve">Maximum Building Height (Metres) TNV - </w:t>
      </w:r>
      <w:r w:rsidR="00E22AFF" w:rsidRPr="009B495D">
        <w:rPr>
          <w:rFonts w:cs="Arial"/>
          <w:color w:val="808080" w:themeColor="background1" w:themeShade="80"/>
          <w:szCs w:val="24"/>
        </w:rPr>
        <w:t>Maximum b</w:t>
      </w:r>
      <w:r w:rsidRPr="009B495D">
        <w:rPr>
          <w:rFonts w:cs="Arial"/>
          <w:color w:val="808080" w:themeColor="background1" w:themeShade="80"/>
          <w:szCs w:val="24"/>
        </w:rPr>
        <w:t xml:space="preserve">uilding </w:t>
      </w:r>
      <w:r w:rsidR="00E22AFF" w:rsidRPr="009B495D">
        <w:rPr>
          <w:rFonts w:cs="Arial"/>
          <w:color w:val="808080" w:themeColor="background1" w:themeShade="80"/>
          <w:szCs w:val="24"/>
        </w:rPr>
        <w:t>h</w:t>
      </w:r>
      <w:r w:rsidRPr="009B495D">
        <w:rPr>
          <w:rFonts w:cs="Arial"/>
          <w:color w:val="808080" w:themeColor="background1" w:themeShade="80"/>
          <w:szCs w:val="24"/>
        </w:rPr>
        <w:t xml:space="preserve">eight is </w:t>
      </w:r>
      <w:r w:rsidR="009B495D" w:rsidRPr="009B495D">
        <w:rPr>
          <w:rFonts w:cs="Arial"/>
          <w:color w:val="808080" w:themeColor="background1" w:themeShade="80"/>
          <w:szCs w:val="24"/>
        </w:rPr>
        <w:t>6</w:t>
      </w:r>
      <w:r w:rsidR="00E22AFF" w:rsidRPr="009B495D">
        <w:rPr>
          <w:rFonts w:cs="Arial"/>
          <w:color w:val="808080" w:themeColor="background1" w:themeShade="80"/>
          <w:szCs w:val="24"/>
        </w:rPr>
        <w:t xml:space="preserve"> metres</w:t>
      </w:r>
      <w:r w:rsidR="00465295">
        <w:rPr>
          <w:rFonts w:cs="Arial"/>
          <w:color w:val="808080" w:themeColor="background1" w:themeShade="80"/>
          <w:szCs w:val="24"/>
        </w:rPr>
        <w:t>.</w:t>
      </w:r>
    </w:p>
    <w:p w14:paraId="7B0AB78C" w14:textId="50D38256" w:rsidR="008149B9" w:rsidRPr="009B495D" w:rsidRDefault="00E22AFF" w:rsidP="008149B9">
      <w:pPr>
        <w:pStyle w:val="ListParagraph"/>
        <w:numPr>
          <w:ilvl w:val="0"/>
          <w:numId w:val="6"/>
        </w:numPr>
        <w:tabs>
          <w:tab w:val="clear" w:pos="425"/>
          <w:tab w:val="clear" w:pos="851"/>
        </w:tabs>
        <w:ind w:left="993"/>
        <w:contextualSpacing w:val="0"/>
        <w:rPr>
          <w:rFonts w:cs="Arial"/>
          <w:color w:val="808080" w:themeColor="background1" w:themeShade="80"/>
          <w:szCs w:val="24"/>
        </w:rPr>
      </w:pPr>
      <w:r w:rsidRPr="009B495D">
        <w:rPr>
          <w:rFonts w:cs="Arial"/>
          <w:color w:val="808080" w:themeColor="background1" w:themeShade="80"/>
          <w:szCs w:val="24"/>
        </w:rPr>
        <w:t>Minimum Frontage TNV – Minimum frontage for a detached dwelling is 15 metres</w:t>
      </w:r>
      <w:r w:rsidR="00465295">
        <w:rPr>
          <w:rFonts w:cs="Arial"/>
          <w:color w:val="808080" w:themeColor="background1" w:themeShade="80"/>
          <w:szCs w:val="24"/>
        </w:rPr>
        <w:t>.</w:t>
      </w:r>
    </w:p>
    <w:p w14:paraId="65306CB2" w14:textId="55725F9A" w:rsidR="00E22AFF" w:rsidRPr="009B495D" w:rsidRDefault="008149B9" w:rsidP="0036328D">
      <w:pPr>
        <w:pStyle w:val="ListParagraph"/>
        <w:numPr>
          <w:ilvl w:val="0"/>
          <w:numId w:val="6"/>
        </w:numPr>
        <w:tabs>
          <w:tab w:val="clear" w:pos="425"/>
          <w:tab w:val="clear" w:pos="851"/>
        </w:tabs>
        <w:ind w:left="993"/>
        <w:contextualSpacing w:val="0"/>
        <w:rPr>
          <w:rFonts w:cs="Arial"/>
          <w:color w:val="808080" w:themeColor="background1" w:themeShade="80"/>
          <w:szCs w:val="24"/>
        </w:rPr>
      </w:pPr>
      <w:r w:rsidRPr="009B495D">
        <w:rPr>
          <w:rFonts w:cs="Arial"/>
          <w:color w:val="808080" w:themeColor="background1" w:themeShade="80"/>
          <w:szCs w:val="24"/>
        </w:rPr>
        <w:t xml:space="preserve">Minimum Site Area </w:t>
      </w:r>
      <w:r w:rsidR="00714B54" w:rsidRPr="009B495D">
        <w:rPr>
          <w:rFonts w:cs="Arial"/>
          <w:color w:val="808080" w:themeColor="background1" w:themeShade="80"/>
          <w:szCs w:val="24"/>
        </w:rPr>
        <w:t xml:space="preserve">TNV – Minimum site area </w:t>
      </w:r>
      <w:r w:rsidRPr="009B495D">
        <w:rPr>
          <w:rFonts w:cs="Arial"/>
          <w:color w:val="808080" w:themeColor="background1" w:themeShade="80"/>
          <w:szCs w:val="24"/>
        </w:rPr>
        <w:t xml:space="preserve">for a detached </w:t>
      </w:r>
      <w:r w:rsidR="00E22AFF" w:rsidRPr="009B495D">
        <w:rPr>
          <w:rFonts w:cs="Arial"/>
          <w:color w:val="808080" w:themeColor="background1" w:themeShade="80"/>
          <w:szCs w:val="24"/>
        </w:rPr>
        <w:t>dwelling is 500 square metres</w:t>
      </w:r>
      <w:r w:rsidR="00465295">
        <w:rPr>
          <w:rFonts w:cs="Arial"/>
          <w:color w:val="808080" w:themeColor="background1" w:themeShade="80"/>
          <w:szCs w:val="24"/>
        </w:rPr>
        <w:t>.</w:t>
      </w:r>
    </w:p>
    <w:p w14:paraId="5074990A" w14:textId="77777777" w:rsidR="000A7BCF" w:rsidRDefault="000A7BCF" w:rsidP="007D42A3">
      <w:pPr>
        <w:pStyle w:val="ListParagraph"/>
        <w:numPr>
          <w:ilvl w:val="0"/>
          <w:numId w:val="1"/>
        </w:numPr>
        <w:spacing w:before="120"/>
        <w:ind w:left="426" w:hanging="426"/>
        <w:contextualSpacing w:val="0"/>
      </w:pPr>
      <w:r w:rsidRPr="003B513E">
        <w:t xml:space="preserve">In Part 13 – Table of Amendments, update the publication date, Code version number, amendment type and summary of amendments within the ‘Table of Planning and Design Code Amendments’ to reflect the publication of this </w:t>
      </w:r>
      <w:r>
        <w:t>Code</w:t>
      </w:r>
      <w:r w:rsidRPr="003B513E">
        <w:t xml:space="preserve"> Amendment.</w:t>
      </w:r>
    </w:p>
    <w:p w14:paraId="1F2D47E5" w14:textId="77777777" w:rsidR="009B495D" w:rsidRDefault="009B495D" w:rsidP="009B495D">
      <w:pPr>
        <w:pStyle w:val="ListParagraph"/>
        <w:spacing w:before="120"/>
        <w:ind w:left="426" w:firstLine="0"/>
        <w:contextualSpacing w:val="0"/>
      </w:pPr>
    </w:p>
    <w:p w14:paraId="02DADDA5" w14:textId="77777777" w:rsidR="008D13D1" w:rsidRDefault="008D13D1" w:rsidP="000A7BCF">
      <w:pPr>
        <w:rPr>
          <w:rFonts w:eastAsia="Times New Roman" w:cs="Arial"/>
          <w:noProof/>
          <w:lang w:val="en-AU" w:eastAsia="en-AU"/>
        </w:rPr>
      </w:pPr>
    </w:p>
    <w:p w14:paraId="1888B6E3" w14:textId="77777777" w:rsidR="00714B54" w:rsidRDefault="00714B54" w:rsidP="000A7BCF">
      <w:pPr>
        <w:rPr>
          <w:lang w:val="en-AU" w:eastAsia="en-AU"/>
        </w:rPr>
        <w:sectPr w:rsidR="00714B54" w:rsidSect="00DC3597">
          <w:headerReference w:type="default" r:id="rId9"/>
          <w:footerReference w:type="default" r:id="rId10"/>
          <w:pgSz w:w="11900" w:h="16840" w:code="9"/>
          <w:pgMar w:top="1418" w:right="1134" w:bottom="1418" w:left="1134" w:header="567" w:footer="567" w:gutter="0"/>
          <w:pgNumType w:start="2"/>
          <w:cols w:space="708"/>
          <w:docGrid w:linePitch="360"/>
        </w:sectPr>
      </w:pPr>
    </w:p>
    <w:p w14:paraId="2175A9AE" w14:textId="77777777" w:rsidR="00983C9A" w:rsidRDefault="00983C9A" w:rsidP="000A7BCF">
      <w:pPr>
        <w:jc w:val="center"/>
        <w:rPr>
          <w:rFonts w:cs="Arial"/>
          <w:b/>
          <w:sz w:val="24"/>
        </w:rPr>
      </w:pPr>
      <w:r>
        <w:rPr>
          <w:rFonts w:cs="Arial"/>
          <w:b/>
          <w:sz w:val="24"/>
        </w:rPr>
        <w:lastRenderedPageBreak/>
        <w:t>ATTACHMENT A</w:t>
      </w:r>
    </w:p>
    <w:p w14:paraId="39FB4E88" w14:textId="77777777" w:rsidR="000A7BCF" w:rsidRPr="00A14553" w:rsidRDefault="000A7BCF" w:rsidP="000A7BCF">
      <w:pPr>
        <w:jc w:val="center"/>
        <w:rPr>
          <w:rFonts w:cs="Arial"/>
          <w:b/>
          <w:sz w:val="24"/>
        </w:rPr>
      </w:pPr>
      <w:r>
        <w:rPr>
          <w:rFonts w:cs="Arial"/>
          <w:b/>
          <w:sz w:val="24"/>
        </w:rPr>
        <w:t>Map A</w:t>
      </w:r>
    </w:p>
    <w:p w14:paraId="79008B79" w14:textId="180B1E8C" w:rsidR="00983C9A" w:rsidRDefault="00983C9A" w:rsidP="000A7BCF">
      <w:pPr>
        <w:jc w:val="center"/>
        <w:rPr>
          <w:rFonts w:cs="Arial"/>
          <w:b/>
        </w:rPr>
      </w:pPr>
    </w:p>
    <w:p w14:paraId="7D9FA74A" w14:textId="7D0CE89D" w:rsidR="00465295" w:rsidRPr="00AB123F" w:rsidRDefault="00465295" w:rsidP="00AB123F">
      <w:pPr>
        <w:shd w:val="clear" w:color="auto" w:fill="D0CECE" w:themeFill="background2" w:themeFillShade="E6"/>
        <w:jc w:val="center"/>
        <w:rPr>
          <w:rFonts w:cs="Arial"/>
          <w:bCs/>
          <w:i/>
          <w:iCs/>
        </w:rPr>
      </w:pPr>
      <w:r w:rsidRPr="00AB123F">
        <w:rPr>
          <w:rFonts w:cs="Arial"/>
          <w:bCs/>
          <w:i/>
          <w:iCs/>
        </w:rPr>
        <w:t>Insert map</w:t>
      </w:r>
    </w:p>
    <w:p w14:paraId="5552E248" w14:textId="77777777" w:rsidR="00465295" w:rsidRDefault="00465295" w:rsidP="000A7BCF">
      <w:pPr>
        <w:jc w:val="center"/>
        <w:rPr>
          <w:rFonts w:cs="Arial"/>
          <w:b/>
        </w:rPr>
      </w:pPr>
    </w:p>
    <w:p w14:paraId="24F39985" w14:textId="48D7A438" w:rsidR="00D63319" w:rsidRDefault="00983C9A" w:rsidP="002F31C3">
      <w:pPr>
        <w:pStyle w:val="ListParagraph"/>
        <w:tabs>
          <w:tab w:val="clear" w:pos="425"/>
          <w:tab w:val="clear" w:pos="851"/>
        </w:tabs>
        <w:spacing w:line="240" w:lineRule="exact"/>
        <w:ind w:left="0" w:firstLine="0"/>
        <w:rPr>
          <w:sz w:val="16"/>
          <w:szCs w:val="16"/>
        </w:rPr>
      </w:pPr>
      <w:r w:rsidRPr="00983C9A">
        <w:rPr>
          <w:rFonts w:cs="Arial"/>
          <w:b/>
          <w:sz w:val="16"/>
          <w:szCs w:val="16"/>
        </w:rPr>
        <w:t>Note:</w:t>
      </w:r>
      <w:r w:rsidRPr="00983C9A">
        <w:rPr>
          <w:sz w:val="16"/>
          <w:szCs w:val="16"/>
        </w:rPr>
        <w:t xml:space="preserve"> </w:t>
      </w:r>
      <w:r w:rsidRPr="00983C9A">
        <w:rPr>
          <w:sz w:val="16"/>
          <w:szCs w:val="16"/>
          <w:lang w:val="en-GB"/>
        </w:rPr>
        <w:t xml:space="preserve">The above map is a printed representation of amendments that are proposed to the spatial layers of SA planning database if the </w:t>
      </w:r>
      <w:r w:rsidR="009B495D" w:rsidRPr="009B495D">
        <w:rPr>
          <w:sz w:val="16"/>
          <w:szCs w:val="16"/>
          <w:highlight w:val="yellow"/>
          <w:lang w:val="en-GB"/>
        </w:rPr>
        <w:t>name of code amendment</w:t>
      </w:r>
      <w:r w:rsidR="004E2870" w:rsidRPr="004E2870">
        <w:rPr>
          <w:sz w:val="16"/>
          <w:szCs w:val="16"/>
          <w:lang w:val="en-GB"/>
        </w:rPr>
        <w:t xml:space="preserve"> </w:t>
      </w:r>
      <w:r w:rsidRPr="00983C9A">
        <w:rPr>
          <w:sz w:val="16"/>
          <w:szCs w:val="16"/>
          <w:lang w:val="en-GB"/>
        </w:rPr>
        <w:t xml:space="preserve">Code Amendment is adopted by the Minister </w:t>
      </w:r>
      <w:r w:rsidR="00465295">
        <w:rPr>
          <w:sz w:val="16"/>
          <w:szCs w:val="16"/>
          <w:lang w:val="en-GB"/>
        </w:rPr>
        <w:t xml:space="preserve">for Planning </w:t>
      </w:r>
      <w:r w:rsidRPr="00983C9A">
        <w:rPr>
          <w:sz w:val="16"/>
          <w:szCs w:val="16"/>
          <w:lang w:val="en-GB"/>
        </w:rPr>
        <w:t xml:space="preserve">under section 73(10) of the </w:t>
      </w:r>
      <w:r w:rsidRPr="00983C9A">
        <w:rPr>
          <w:i/>
          <w:sz w:val="16"/>
          <w:szCs w:val="16"/>
          <w:lang w:val="en-GB"/>
        </w:rPr>
        <w:t xml:space="preserve">Planning, Development and Infrastructure Act 2016 </w:t>
      </w:r>
      <w:r w:rsidRPr="00983C9A">
        <w:rPr>
          <w:sz w:val="16"/>
          <w:szCs w:val="16"/>
          <w:lang w:val="en-GB"/>
        </w:rPr>
        <w:t>(the Act).</w:t>
      </w:r>
      <w:r w:rsidR="004E2870">
        <w:rPr>
          <w:sz w:val="16"/>
          <w:szCs w:val="16"/>
          <w:lang w:val="en-GB"/>
        </w:rPr>
        <w:t xml:space="preserve"> </w:t>
      </w:r>
    </w:p>
    <w:sectPr w:rsidR="00D63319" w:rsidSect="002B6DAA">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C9BC" w14:textId="77777777" w:rsidR="00983C9A" w:rsidRDefault="00983C9A" w:rsidP="00983C9A">
      <w:pPr>
        <w:spacing w:after="0" w:line="240" w:lineRule="auto"/>
      </w:pPr>
      <w:r>
        <w:separator/>
      </w:r>
    </w:p>
  </w:endnote>
  <w:endnote w:type="continuationSeparator" w:id="0">
    <w:p w14:paraId="25F5359D" w14:textId="77777777" w:rsidR="00983C9A" w:rsidRDefault="00983C9A" w:rsidP="0098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638865"/>
      <w:docPartObj>
        <w:docPartGallery w:val="Page Numbers (Bottom of Page)"/>
        <w:docPartUnique/>
      </w:docPartObj>
    </w:sdtPr>
    <w:sdtEndPr>
      <w:rPr>
        <w:noProof/>
      </w:rPr>
    </w:sdtEndPr>
    <w:sdtContent>
      <w:p w14:paraId="4DB8918D" w14:textId="77777777" w:rsidR="0035092C" w:rsidRDefault="0035092C">
        <w:pPr>
          <w:pStyle w:val="Footer"/>
          <w:jc w:val="center"/>
        </w:pPr>
        <w:r>
          <w:fldChar w:fldCharType="begin"/>
        </w:r>
        <w:r>
          <w:instrText xml:space="preserve"> PAGE   \* MERGEFORMAT </w:instrText>
        </w:r>
        <w:r>
          <w:fldChar w:fldCharType="separate"/>
        </w:r>
        <w:r w:rsidR="00F550B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F311" w14:textId="77777777" w:rsidR="00983C9A" w:rsidRDefault="00983C9A" w:rsidP="00983C9A">
      <w:pPr>
        <w:spacing w:after="0" w:line="240" w:lineRule="auto"/>
      </w:pPr>
      <w:r>
        <w:separator/>
      </w:r>
    </w:p>
  </w:footnote>
  <w:footnote w:type="continuationSeparator" w:id="0">
    <w:p w14:paraId="761D3BD8" w14:textId="77777777" w:rsidR="00983C9A" w:rsidRDefault="00983C9A" w:rsidP="0098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5E69" w14:textId="57D96A29" w:rsidR="00B60686" w:rsidRDefault="00697CF2">
    <w:pPr>
      <w:pStyle w:val="Header"/>
    </w:pPr>
    <w:r w:rsidRPr="00D75F6E">
      <w:rPr>
        <w:rFonts w:eastAsia="Arial Unicode MS"/>
        <w:noProof/>
        <w:sz w:val="24"/>
        <w:lang w:val="en-AU" w:eastAsia="en-AU"/>
      </w:rPr>
      <w:drawing>
        <wp:anchor distT="0" distB="0" distL="114300" distR="114300" simplePos="0" relativeHeight="251661312" behindDoc="1" locked="0" layoutInCell="1" allowOverlap="1" wp14:anchorId="283697AD" wp14:editId="73FD4F55">
          <wp:simplePos x="0" y="0"/>
          <wp:positionH relativeFrom="page">
            <wp:align>left</wp:align>
          </wp:positionH>
          <wp:positionV relativeFrom="page">
            <wp:align>top</wp:align>
          </wp:positionV>
          <wp:extent cx="8665200" cy="12380400"/>
          <wp:effectExtent l="0" t="0" r="3175" b="2540"/>
          <wp:wrapNone/>
          <wp:docPr id="1627516295" name="Picture 162751629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5200" cy="1238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56E6" w14:textId="2AE48DC2" w:rsidR="00DC3597" w:rsidRDefault="00DC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53E"/>
    <w:multiLevelType w:val="hybridMultilevel"/>
    <w:tmpl w:val="36ACE9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15295"/>
    <w:multiLevelType w:val="hybridMultilevel"/>
    <w:tmpl w:val="67E06A00"/>
    <w:lvl w:ilvl="0" w:tplc="90D85160">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8F01103"/>
    <w:multiLevelType w:val="hybridMultilevel"/>
    <w:tmpl w:val="B5143B38"/>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3" w15:restartNumberingAfterBreak="0">
    <w:nsid w:val="1CC862BC"/>
    <w:multiLevelType w:val="hybridMultilevel"/>
    <w:tmpl w:val="67E06A00"/>
    <w:lvl w:ilvl="0" w:tplc="90D8516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5F90A11"/>
    <w:multiLevelType w:val="hybridMultilevel"/>
    <w:tmpl w:val="12D86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027F7"/>
    <w:multiLevelType w:val="hybridMultilevel"/>
    <w:tmpl w:val="67E06A00"/>
    <w:lvl w:ilvl="0" w:tplc="90D8516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45EA670A"/>
    <w:multiLevelType w:val="hybridMultilevel"/>
    <w:tmpl w:val="6EC029E4"/>
    <w:lvl w:ilvl="0" w:tplc="0C09000F">
      <w:start w:val="1"/>
      <w:numFmt w:val="decimal"/>
      <w:pStyle w:val="ListBullet"/>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D0379F6"/>
    <w:multiLevelType w:val="hybridMultilevel"/>
    <w:tmpl w:val="67E06A00"/>
    <w:lvl w:ilvl="0" w:tplc="90D8516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6D483439"/>
    <w:multiLevelType w:val="hybridMultilevel"/>
    <w:tmpl w:val="35546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8450182">
    <w:abstractNumId w:val="6"/>
  </w:num>
  <w:num w:numId="2" w16cid:durableId="757143084">
    <w:abstractNumId w:val="4"/>
  </w:num>
  <w:num w:numId="3" w16cid:durableId="1144153549">
    <w:abstractNumId w:val="0"/>
  </w:num>
  <w:num w:numId="4" w16cid:durableId="1931620710">
    <w:abstractNumId w:val="7"/>
  </w:num>
  <w:num w:numId="5" w16cid:durableId="1241796791">
    <w:abstractNumId w:val="5"/>
  </w:num>
  <w:num w:numId="6" w16cid:durableId="1197767900">
    <w:abstractNumId w:val="3"/>
  </w:num>
  <w:num w:numId="7" w16cid:durableId="1205095765">
    <w:abstractNumId w:val="8"/>
  </w:num>
  <w:num w:numId="8" w16cid:durableId="1705572">
    <w:abstractNumId w:val="1"/>
  </w:num>
  <w:num w:numId="9" w16cid:durableId="120810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87"/>
    <w:rsid w:val="00014971"/>
    <w:rsid w:val="00056848"/>
    <w:rsid w:val="00061A0C"/>
    <w:rsid w:val="00074CCA"/>
    <w:rsid w:val="000A7BCF"/>
    <w:rsid w:val="000C007F"/>
    <w:rsid w:val="001406C9"/>
    <w:rsid w:val="001B6DC8"/>
    <w:rsid w:val="001E2BE9"/>
    <w:rsid w:val="00216BC0"/>
    <w:rsid w:val="00231D0C"/>
    <w:rsid w:val="00235BF1"/>
    <w:rsid w:val="00280B3A"/>
    <w:rsid w:val="002B6DAA"/>
    <w:rsid w:val="002D2D3E"/>
    <w:rsid w:val="002F31C3"/>
    <w:rsid w:val="0035055A"/>
    <w:rsid w:val="0035092C"/>
    <w:rsid w:val="00361959"/>
    <w:rsid w:val="003C1A07"/>
    <w:rsid w:val="003E5459"/>
    <w:rsid w:val="00451054"/>
    <w:rsid w:val="00465295"/>
    <w:rsid w:val="004A6399"/>
    <w:rsid w:val="004B3CA4"/>
    <w:rsid w:val="004D086A"/>
    <w:rsid w:val="004E2870"/>
    <w:rsid w:val="005111F7"/>
    <w:rsid w:val="00537CF7"/>
    <w:rsid w:val="00557652"/>
    <w:rsid w:val="005C44E4"/>
    <w:rsid w:val="005E37B5"/>
    <w:rsid w:val="005E7B10"/>
    <w:rsid w:val="005F0C43"/>
    <w:rsid w:val="00603886"/>
    <w:rsid w:val="006133DA"/>
    <w:rsid w:val="006404A9"/>
    <w:rsid w:val="006705C7"/>
    <w:rsid w:val="006730EF"/>
    <w:rsid w:val="00697CF2"/>
    <w:rsid w:val="006B4587"/>
    <w:rsid w:val="00714B54"/>
    <w:rsid w:val="0077292D"/>
    <w:rsid w:val="00784C5B"/>
    <w:rsid w:val="00787709"/>
    <w:rsid w:val="007A3A70"/>
    <w:rsid w:val="007D42A3"/>
    <w:rsid w:val="008149B9"/>
    <w:rsid w:val="00821319"/>
    <w:rsid w:val="0083396D"/>
    <w:rsid w:val="00845056"/>
    <w:rsid w:val="008B79F6"/>
    <w:rsid w:val="008C40E3"/>
    <w:rsid w:val="008D104C"/>
    <w:rsid w:val="008D13D1"/>
    <w:rsid w:val="0090558C"/>
    <w:rsid w:val="00914AA4"/>
    <w:rsid w:val="0093330A"/>
    <w:rsid w:val="00947147"/>
    <w:rsid w:val="00964526"/>
    <w:rsid w:val="00970A4C"/>
    <w:rsid w:val="009744EC"/>
    <w:rsid w:val="00983C9A"/>
    <w:rsid w:val="009874C5"/>
    <w:rsid w:val="009B495D"/>
    <w:rsid w:val="009C0C80"/>
    <w:rsid w:val="009F2A23"/>
    <w:rsid w:val="009F5B38"/>
    <w:rsid w:val="00A460A8"/>
    <w:rsid w:val="00A808E5"/>
    <w:rsid w:val="00A85202"/>
    <w:rsid w:val="00A94EC2"/>
    <w:rsid w:val="00AA774D"/>
    <w:rsid w:val="00AB123F"/>
    <w:rsid w:val="00AB2CD7"/>
    <w:rsid w:val="00AB5167"/>
    <w:rsid w:val="00AD6687"/>
    <w:rsid w:val="00AF73AD"/>
    <w:rsid w:val="00B47C38"/>
    <w:rsid w:val="00B60686"/>
    <w:rsid w:val="00BD22E2"/>
    <w:rsid w:val="00BE216E"/>
    <w:rsid w:val="00C33BF8"/>
    <w:rsid w:val="00C365B1"/>
    <w:rsid w:val="00C70485"/>
    <w:rsid w:val="00D35999"/>
    <w:rsid w:val="00D573BA"/>
    <w:rsid w:val="00D607E4"/>
    <w:rsid w:val="00D63319"/>
    <w:rsid w:val="00DA1927"/>
    <w:rsid w:val="00DB002A"/>
    <w:rsid w:val="00DC30F9"/>
    <w:rsid w:val="00DC3597"/>
    <w:rsid w:val="00DF2F87"/>
    <w:rsid w:val="00E03F8D"/>
    <w:rsid w:val="00E22AFF"/>
    <w:rsid w:val="00EA027C"/>
    <w:rsid w:val="00EE0E0B"/>
    <w:rsid w:val="00F23702"/>
    <w:rsid w:val="00F550B3"/>
    <w:rsid w:val="00F83E80"/>
    <w:rsid w:val="00FC0593"/>
    <w:rsid w:val="00FD2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5A2E1F3"/>
  <w15:chartTrackingRefBased/>
  <w15:docId w15:val="{6ACF0D0F-82F9-4D27-AF5C-92AF4DA4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87"/>
    <w:pPr>
      <w:tabs>
        <w:tab w:val="left" w:pos="425"/>
        <w:tab w:val="left" w:pos="851"/>
      </w:tabs>
      <w:spacing w:after="180" w:line="264" w:lineRule="auto"/>
    </w:pPr>
    <w:rPr>
      <w:rFonts w:ascii="Arial" w:hAnsi="Arial"/>
      <w:sz w:val="20"/>
      <w:szCs w:val="24"/>
      <w:lang w:val="en-GB"/>
    </w:rPr>
  </w:style>
  <w:style w:type="paragraph" w:styleId="Heading1">
    <w:name w:val="heading 1"/>
    <w:basedOn w:val="Normal"/>
    <w:next w:val="Normal"/>
    <w:link w:val="Heading1Char"/>
    <w:uiPriority w:val="9"/>
    <w:qFormat/>
    <w:rsid w:val="000A7BCF"/>
    <w:pPr>
      <w:keepNext/>
      <w:tabs>
        <w:tab w:val="clear" w:pos="425"/>
        <w:tab w:val="clear" w:pos="851"/>
        <w:tab w:val="left" w:pos="567"/>
        <w:tab w:val="left" w:pos="1134"/>
      </w:tabs>
      <w:spacing w:before="600" w:after="240" w:line="240" w:lineRule="auto"/>
      <w:outlineLvl w:val="0"/>
    </w:pPr>
    <w:rPr>
      <w:rFonts w:cstheme="majorHAnsi"/>
      <w:b/>
      <w:bCs/>
      <w:sz w:val="32"/>
      <w:szCs w:val="40"/>
      <w:lang w:val="en-US"/>
    </w:rPr>
  </w:style>
  <w:style w:type="paragraph" w:styleId="Heading2">
    <w:name w:val="heading 2"/>
    <w:basedOn w:val="Normal"/>
    <w:next w:val="Normal"/>
    <w:link w:val="Heading2Char"/>
    <w:uiPriority w:val="9"/>
    <w:semiHidden/>
    <w:unhideWhenUsed/>
    <w:qFormat/>
    <w:rsid w:val="005E3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7B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F2F87"/>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BalloonText">
    <w:name w:val="Balloon Text"/>
    <w:basedOn w:val="Normal"/>
    <w:link w:val="BalloonTextChar"/>
    <w:uiPriority w:val="99"/>
    <w:semiHidden/>
    <w:unhideWhenUsed/>
    <w:rsid w:val="003C1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A07"/>
    <w:rPr>
      <w:rFonts w:ascii="Segoe UI" w:hAnsi="Segoe UI" w:cs="Segoe UI"/>
      <w:sz w:val="18"/>
      <w:szCs w:val="18"/>
      <w:lang w:val="en-GB"/>
    </w:rPr>
  </w:style>
  <w:style w:type="character" w:customStyle="1" w:styleId="Heading1Char">
    <w:name w:val="Heading 1 Char"/>
    <w:basedOn w:val="DefaultParagraphFont"/>
    <w:link w:val="Heading1"/>
    <w:uiPriority w:val="9"/>
    <w:rsid w:val="000A7BCF"/>
    <w:rPr>
      <w:rFonts w:ascii="Arial" w:hAnsi="Arial" w:cstheme="majorHAnsi"/>
      <w:b/>
      <w:bCs/>
      <w:sz w:val="32"/>
      <w:szCs w:val="40"/>
      <w:lang w:val="en-US"/>
    </w:rPr>
  </w:style>
  <w:style w:type="paragraph" w:styleId="ListParagraph">
    <w:name w:val="List Paragraph"/>
    <w:aliases w:val="Fact Sheet bullets"/>
    <w:basedOn w:val="ListBullet"/>
    <w:link w:val="ListParagraphChar"/>
    <w:uiPriority w:val="34"/>
    <w:qFormat/>
    <w:rsid w:val="000A7BCF"/>
    <w:pPr>
      <w:numPr>
        <w:numId w:val="0"/>
      </w:numPr>
      <w:spacing w:after="120"/>
      <w:ind w:left="641" w:hanging="357"/>
    </w:pPr>
    <w:rPr>
      <w:rFonts w:eastAsia="Times New Roman" w:cs="Times New Roman"/>
      <w:noProof/>
      <w:szCs w:val="20"/>
      <w:lang w:val="en-AU" w:eastAsia="en-AU"/>
    </w:rPr>
  </w:style>
  <w:style w:type="character" w:customStyle="1" w:styleId="ListParagraphChar">
    <w:name w:val="List Paragraph Char"/>
    <w:aliases w:val="Fact Sheet bullets Char"/>
    <w:basedOn w:val="DefaultParagraphFont"/>
    <w:link w:val="ListParagraph"/>
    <w:uiPriority w:val="34"/>
    <w:rsid w:val="000A7BCF"/>
    <w:rPr>
      <w:rFonts w:ascii="Arial" w:eastAsia="Times New Roman" w:hAnsi="Arial" w:cs="Times New Roman"/>
      <w:noProof/>
      <w:sz w:val="20"/>
      <w:szCs w:val="20"/>
      <w:lang w:eastAsia="en-AU"/>
    </w:rPr>
  </w:style>
  <w:style w:type="character" w:styleId="CommentReference">
    <w:name w:val="annotation reference"/>
    <w:basedOn w:val="DefaultParagraphFont"/>
    <w:uiPriority w:val="99"/>
    <w:semiHidden/>
    <w:unhideWhenUsed/>
    <w:rsid w:val="000A7BCF"/>
    <w:rPr>
      <w:sz w:val="16"/>
      <w:szCs w:val="16"/>
    </w:rPr>
  </w:style>
  <w:style w:type="paragraph" w:styleId="CommentText">
    <w:name w:val="annotation text"/>
    <w:basedOn w:val="Normal"/>
    <w:link w:val="CommentTextChar"/>
    <w:uiPriority w:val="99"/>
    <w:unhideWhenUsed/>
    <w:rsid w:val="000A7BCF"/>
    <w:pPr>
      <w:spacing w:line="240" w:lineRule="auto"/>
    </w:pPr>
    <w:rPr>
      <w:szCs w:val="20"/>
    </w:rPr>
  </w:style>
  <w:style w:type="character" w:customStyle="1" w:styleId="CommentTextChar">
    <w:name w:val="Comment Text Char"/>
    <w:basedOn w:val="DefaultParagraphFont"/>
    <w:link w:val="CommentText"/>
    <w:uiPriority w:val="99"/>
    <w:rsid w:val="000A7BCF"/>
    <w:rPr>
      <w:rFonts w:ascii="Arial" w:hAnsi="Arial"/>
      <w:sz w:val="20"/>
      <w:szCs w:val="20"/>
      <w:lang w:val="en-GB"/>
    </w:rPr>
  </w:style>
  <w:style w:type="paragraph" w:styleId="ListBullet">
    <w:name w:val="List Bullet"/>
    <w:basedOn w:val="Normal"/>
    <w:uiPriority w:val="99"/>
    <w:unhideWhenUsed/>
    <w:rsid w:val="000A7BCF"/>
    <w:pPr>
      <w:numPr>
        <w:numId w:val="1"/>
      </w:numPr>
      <w:contextualSpacing/>
    </w:pPr>
  </w:style>
  <w:style w:type="paragraph" w:styleId="CommentSubject">
    <w:name w:val="annotation subject"/>
    <w:basedOn w:val="CommentText"/>
    <w:next w:val="CommentText"/>
    <w:link w:val="CommentSubjectChar"/>
    <w:uiPriority w:val="99"/>
    <w:semiHidden/>
    <w:unhideWhenUsed/>
    <w:rsid w:val="000A7BCF"/>
    <w:rPr>
      <w:b/>
      <w:bCs/>
    </w:rPr>
  </w:style>
  <w:style w:type="character" w:customStyle="1" w:styleId="CommentSubjectChar">
    <w:name w:val="Comment Subject Char"/>
    <w:basedOn w:val="CommentTextChar"/>
    <w:link w:val="CommentSubject"/>
    <w:uiPriority w:val="99"/>
    <w:semiHidden/>
    <w:rsid w:val="000A7BCF"/>
    <w:rPr>
      <w:rFonts w:ascii="Arial" w:hAnsi="Arial"/>
      <w:b/>
      <w:bCs/>
      <w:sz w:val="20"/>
      <w:szCs w:val="20"/>
      <w:lang w:val="en-GB"/>
    </w:rPr>
  </w:style>
  <w:style w:type="paragraph" w:styleId="Header">
    <w:name w:val="header"/>
    <w:basedOn w:val="Normal"/>
    <w:link w:val="HeaderChar"/>
    <w:uiPriority w:val="99"/>
    <w:unhideWhenUsed/>
    <w:rsid w:val="00983C9A"/>
    <w:pPr>
      <w:tabs>
        <w:tab w:val="clear" w:pos="425"/>
        <w:tab w:val="clear" w:pos="851"/>
        <w:tab w:val="center" w:pos="4680"/>
        <w:tab w:val="right" w:pos="9360"/>
      </w:tabs>
      <w:spacing w:after="0" w:line="240" w:lineRule="auto"/>
    </w:pPr>
  </w:style>
  <w:style w:type="character" w:customStyle="1" w:styleId="HeaderChar">
    <w:name w:val="Header Char"/>
    <w:basedOn w:val="DefaultParagraphFont"/>
    <w:link w:val="Header"/>
    <w:uiPriority w:val="99"/>
    <w:rsid w:val="00983C9A"/>
    <w:rPr>
      <w:rFonts w:ascii="Arial" w:hAnsi="Arial"/>
      <w:sz w:val="20"/>
      <w:szCs w:val="24"/>
      <w:lang w:val="en-GB"/>
    </w:rPr>
  </w:style>
  <w:style w:type="paragraph" w:styleId="Footer">
    <w:name w:val="footer"/>
    <w:basedOn w:val="Normal"/>
    <w:link w:val="FooterChar"/>
    <w:uiPriority w:val="99"/>
    <w:unhideWhenUsed/>
    <w:rsid w:val="00983C9A"/>
    <w:pPr>
      <w:tabs>
        <w:tab w:val="clear" w:pos="425"/>
        <w:tab w:val="clear" w:pos="851"/>
        <w:tab w:val="center" w:pos="4680"/>
        <w:tab w:val="right" w:pos="9360"/>
      </w:tabs>
      <w:spacing w:after="0" w:line="240" w:lineRule="auto"/>
    </w:pPr>
  </w:style>
  <w:style w:type="character" w:customStyle="1" w:styleId="FooterChar">
    <w:name w:val="Footer Char"/>
    <w:basedOn w:val="DefaultParagraphFont"/>
    <w:link w:val="Footer"/>
    <w:uiPriority w:val="99"/>
    <w:rsid w:val="00983C9A"/>
    <w:rPr>
      <w:rFonts w:ascii="Arial" w:hAnsi="Arial"/>
      <w:sz w:val="20"/>
      <w:szCs w:val="24"/>
      <w:lang w:val="en-GB"/>
    </w:rPr>
  </w:style>
  <w:style w:type="character" w:customStyle="1" w:styleId="Heading2Char">
    <w:name w:val="Heading 2 Char"/>
    <w:basedOn w:val="DefaultParagraphFont"/>
    <w:link w:val="Heading2"/>
    <w:uiPriority w:val="9"/>
    <w:semiHidden/>
    <w:rsid w:val="005E37B5"/>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5E37B5"/>
    <w:rPr>
      <w:rFonts w:asciiTheme="majorHAnsi" w:eastAsiaTheme="majorEastAsia" w:hAnsiTheme="majorHAnsi" w:cstheme="majorBidi"/>
      <w:color w:val="1F4D78" w:themeColor="accent1" w:themeShade="7F"/>
      <w:sz w:val="24"/>
      <w:szCs w:val="24"/>
      <w:lang w:val="en-GB"/>
    </w:rPr>
  </w:style>
  <w:style w:type="paragraph" w:styleId="Revision">
    <w:name w:val="Revision"/>
    <w:hidden/>
    <w:uiPriority w:val="99"/>
    <w:semiHidden/>
    <w:rsid w:val="00E03F8D"/>
    <w:pPr>
      <w:spacing w:after="0" w:line="240" w:lineRule="auto"/>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2148">
      <w:bodyDiv w:val="1"/>
      <w:marLeft w:val="0"/>
      <w:marRight w:val="0"/>
      <w:marTop w:val="0"/>
      <w:marBottom w:val="0"/>
      <w:divBdr>
        <w:top w:val="none" w:sz="0" w:space="0" w:color="auto"/>
        <w:left w:val="none" w:sz="0" w:space="0" w:color="auto"/>
        <w:bottom w:val="none" w:sz="0" w:space="0" w:color="auto"/>
        <w:right w:val="none" w:sz="0" w:space="0" w:color="auto"/>
      </w:divBdr>
    </w:div>
    <w:div w:id="851189414">
      <w:bodyDiv w:val="1"/>
      <w:marLeft w:val="0"/>
      <w:marRight w:val="0"/>
      <w:marTop w:val="0"/>
      <w:marBottom w:val="0"/>
      <w:divBdr>
        <w:top w:val="none" w:sz="0" w:space="0" w:color="auto"/>
        <w:left w:val="none" w:sz="0" w:space="0" w:color="auto"/>
        <w:bottom w:val="none" w:sz="0" w:space="0" w:color="auto"/>
        <w:right w:val="none" w:sz="0" w:space="0" w:color="auto"/>
      </w:divBdr>
    </w:div>
    <w:div w:id="1036392018">
      <w:bodyDiv w:val="1"/>
      <w:marLeft w:val="0"/>
      <w:marRight w:val="0"/>
      <w:marTop w:val="0"/>
      <w:marBottom w:val="0"/>
      <w:divBdr>
        <w:top w:val="none" w:sz="0" w:space="0" w:color="auto"/>
        <w:left w:val="none" w:sz="0" w:space="0" w:color="auto"/>
        <w:bottom w:val="none" w:sz="0" w:space="0" w:color="auto"/>
        <w:right w:val="none" w:sz="0" w:space="0" w:color="auto"/>
      </w:divBdr>
      <w:divsChild>
        <w:div w:id="673916185">
          <w:marLeft w:val="0"/>
          <w:marRight w:val="0"/>
          <w:marTop w:val="0"/>
          <w:marBottom w:val="0"/>
          <w:divBdr>
            <w:top w:val="none" w:sz="0" w:space="0" w:color="auto"/>
            <w:left w:val="none" w:sz="0" w:space="0" w:color="auto"/>
            <w:bottom w:val="none" w:sz="0" w:space="0" w:color="auto"/>
            <w:right w:val="none" w:sz="0" w:space="0" w:color="auto"/>
          </w:divBdr>
        </w:div>
        <w:div w:id="127744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F5AB2-159B-4296-BC68-F56DBD5D7E3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3577</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Team</dc:creator>
  <cp:keywords/>
  <dc:description/>
  <cp:lastModifiedBy>Rawlins, Dionne (DHUD)</cp:lastModifiedBy>
  <cp:revision>2</cp:revision>
  <cp:lastPrinted>2021-12-21T05:55:00Z</cp:lastPrinted>
  <dcterms:created xsi:type="dcterms:W3CDTF">2024-10-22T23:32:00Z</dcterms:created>
  <dcterms:modified xsi:type="dcterms:W3CDTF">2024-10-22T23:32:00Z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2023-03-17T06:10:15Z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323030cf-8e68-447a-87c5-39200700b69f</vt:lpwstr>
  </property>
  <property fmtid="{D5CDD505-2E9C-101B-9397-08002B2CF9AE}" pid="8" name="MSIP_Label_77274858-3b1d-4431-8679-d878f40e28fd_ContentBits">
    <vt:lpwstr>1</vt:lpwstr>
  </property>
</Properties>
</file>